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9F420" w14:textId="77777777" w:rsidR="00B733C9" w:rsidRPr="001F3793" w:rsidRDefault="00B733C9" w:rsidP="00B601FD">
      <w:pPr>
        <w:spacing w:after="0" w:line="240" w:lineRule="auto"/>
        <w:jc w:val="center"/>
        <w:rPr>
          <w:b/>
        </w:rPr>
      </w:pPr>
      <w:r w:rsidRPr="001F3793">
        <w:rPr>
          <w:b/>
        </w:rPr>
        <w:t>Spokane River Regional Toxics Task Force</w:t>
      </w:r>
    </w:p>
    <w:p w14:paraId="13A74ABE" w14:textId="77777777" w:rsidR="00B733C9" w:rsidRDefault="00B733C9" w:rsidP="006C09A5">
      <w:pPr>
        <w:spacing w:after="0" w:line="240" w:lineRule="auto"/>
        <w:jc w:val="center"/>
      </w:pPr>
      <w:r w:rsidRPr="001F3793">
        <w:rPr>
          <w:b/>
        </w:rPr>
        <w:t>DRAFT MEETING SUMMARY</w:t>
      </w:r>
    </w:p>
    <w:p w14:paraId="13EB09B5" w14:textId="77777777" w:rsidR="00B733C9" w:rsidRDefault="00B733C9" w:rsidP="00B601FD">
      <w:pPr>
        <w:spacing w:after="0" w:line="240" w:lineRule="auto"/>
        <w:jc w:val="center"/>
      </w:pPr>
      <w:r>
        <w:t>September 24th, 2014 | 9:00am – 12:30pm</w:t>
      </w:r>
    </w:p>
    <w:p w14:paraId="3AE01E73" w14:textId="77777777" w:rsidR="00B733C9" w:rsidRDefault="00B733C9" w:rsidP="00B601FD">
      <w:pPr>
        <w:spacing w:after="0" w:line="240" w:lineRule="auto"/>
        <w:jc w:val="center"/>
      </w:pPr>
      <w:r>
        <w:t>Spokane County Water Resource Center</w:t>
      </w:r>
      <w:r w:rsidR="006C09A5">
        <w:t> | </w:t>
      </w:r>
      <w:r>
        <w:t>1004 N. Freya Street | Spokane, WA 99202</w:t>
      </w:r>
      <w:r>
        <w:cr/>
      </w:r>
    </w:p>
    <w:p w14:paraId="42FCF65F" w14:textId="77777777" w:rsidR="00677BD7" w:rsidRPr="00ED4748" w:rsidRDefault="00677BD7" w:rsidP="00B601FD">
      <w:pPr>
        <w:spacing w:after="0" w:line="240" w:lineRule="auto"/>
        <w:rPr>
          <w:b/>
        </w:rPr>
      </w:pPr>
      <w:r w:rsidRPr="00ED4748">
        <w:rPr>
          <w:b/>
        </w:rPr>
        <w:t>Attendees</w:t>
      </w:r>
    </w:p>
    <w:p w14:paraId="7D84771F" w14:textId="77777777" w:rsidR="00677BD7" w:rsidRDefault="00677BD7" w:rsidP="00B601FD">
      <w:pPr>
        <w:spacing w:after="0" w:line="240" w:lineRule="auto"/>
        <w:rPr>
          <w:i/>
        </w:rPr>
      </w:pPr>
      <w:r w:rsidRPr="006A5125">
        <w:rPr>
          <w:i/>
        </w:rPr>
        <w:t>Voting Members and Alternatives (*Denotes Voting Member)</w:t>
      </w:r>
    </w:p>
    <w:p w14:paraId="5DDACD95" w14:textId="77777777" w:rsidR="00214261" w:rsidRDefault="00214261" w:rsidP="00B601FD">
      <w:pPr>
        <w:spacing w:after="0" w:line="240" w:lineRule="auto"/>
      </w:pPr>
      <w:r>
        <w:t>Tom Agnew*, BiJay Adams – Liberty Lake Sewer and Water District</w:t>
      </w:r>
    </w:p>
    <w:p w14:paraId="2E0DA792" w14:textId="77777777" w:rsidR="00214261" w:rsidRDefault="00214261" w:rsidP="00B601FD">
      <w:pPr>
        <w:spacing w:after="0" w:line="240" w:lineRule="auto"/>
      </w:pPr>
      <w:r>
        <w:t xml:space="preserve">Dale Arnold*, Lynn Schmidt, Elizabeth Schoedel – City of Spokane </w:t>
      </w:r>
    </w:p>
    <w:p w14:paraId="5CE248BB" w14:textId="77777777" w:rsidR="00B32532" w:rsidRDefault="00B32532" w:rsidP="00B601FD">
      <w:pPr>
        <w:spacing w:after="0" w:line="240" w:lineRule="auto"/>
      </w:pPr>
      <w:r w:rsidRPr="00B32532">
        <w:t xml:space="preserve">Galen </w:t>
      </w:r>
      <w:r w:rsidR="008703ED">
        <w:t>Bu</w:t>
      </w:r>
      <w:r>
        <w:t>terbaugh</w:t>
      </w:r>
      <w:r w:rsidR="008703ED">
        <w:t>*</w:t>
      </w:r>
      <w:r>
        <w:t xml:space="preserve"> </w:t>
      </w:r>
      <w:r w:rsidR="00127EDC">
        <w:t xml:space="preserve">– </w:t>
      </w:r>
      <w:r w:rsidRPr="00B32532">
        <w:t>Lake Spokane Association</w:t>
      </w:r>
    </w:p>
    <w:p w14:paraId="700D0CB7" w14:textId="77777777" w:rsidR="00331710" w:rsidRDefault="00127EDC" w:rsidP="00B601FD">
      <w:pPr>
        <w:spacing w:after="0" w:line="240" w:lineRule="auto"/>
      </w:pPr>
      <w:r>
        <w:t>Mike LaSc</w:t>
      </w:r>
      <w:r w:rsidR="00331710">
        <w:t>oul</w:t>
      </w:r>
      <w:r w:rsidR="00EE77F5">
        <w:t>a</w:t>
      </w:r>
      <w:r>
        <w:t>*, Sandy Phillips – Spokane Regional Health District</w:t>
      </w:r>
    </w:p>
    <w:p w14:paraId="3FADC011" w14:textId="77777777" w:rsidR="00F63D32" w:rsidRDefault="00F63D32" w:rsidP="00B601FD">
      <w:pPr>
        <w:spacing w:after="0" w:line="240" w:lineRule="auto"/>
      </w:pPr>
      <w:r>
        <w:t xml:space="preserve">Bud Leber* – Kaiser Aluminum </w:t>
      </w:r>
    </w:p>
    <w:p w14:paraId="07AE221F" w14:textId="77777777" w:rsidR="00F63D32" w:rsidRDefault="00F63D32" w:rsidP="00B601FD">
      <w:pPr>
        <w:spacing w:after="0" w:line="240" w:lineRule="auto"/>
      </w:pPr>
      <w:r>
        <w:t>Dave Moss*, Rob Lindsey, Mike Mil</w:t>
      </w:r>
      <w:r w:rsidR="003107BE">
        <w:t>ne</w:t>
      </w:r>
      <w:r w:rsidR="00B74586">
        <w:t>r</w:t>
      </w:r>
      <w:r>
        <w:t xml:space="preserve"> – Spokane County</w:t>
      </w:r>
    </w:p>
    <w:p w14:paraId="3E5FBFDA" w14:textId="098C158B" w:rsidR="00331710" w:rsidRDefault="00331710" w:rsidP="00B601FD">
      <w:pPr>
        <w:spacing w:after="0" w:line="240" w:lineRule="auto"/>
      </w:pPr>
      <w:r>
        <w:t xml:space="preserve">Mike </w:t>
      </w:r>
      <w:r w:rsidR="00EE77F5">
        <w:t>Peterson</w:t>
      </w:r>
      <w:r w:rsidR="00127EDC">
        <w:t>* –</w:t>
      </w:r>
      <w:r w:rsidR="00D34886">
        <w:t xml:space="preserve"> </w:t>
      </w:r>
      <w:r w:rsidR="00127EDC">
        <w:t>The Lands Council</w:t>
      </w:r>
    </w:p>
    <w:p w14:paraId="7A4FD7B2" w14:textId="77777777" w:rsidR="00331710" w:rsidRDefault="00331710" w:rsidP="00B601FD">
      <w:pPr>
        <w:spacing w:after="0" w:line="240" w:lineRule="auto"/>
      </w:pPr>
      <w:r>
        <w:t xml:space="preserve">Doug </w:t>
      </w:r>
      <w:r w:rsidR="00127EDC">
        <w:t>Krapas* – Inland Empire Paper Company</w:t>
      </w:r>
    </w:p>
    <w:p w14:paraId="6412CF22" w14:textId="77777777" w:rsidR="00BE2173" w:rsidRDefault="00BE2173" w:rsidP="00B601FD">
      <w:pPr>
        <w:spacing w:after="0" w:line="240" w:lineRule="auto"/>
      </w:pPr>
    </w:p>
    <w:p w14:paraId="40A134C7" w14:textId="77777777" w:rsidR="00677BD7" w:rsidRDefault="00677BD7" w:rsidP="00B601FD">
      <w:pPr>
        <w:spacing w:after="0" w:line="240" w:lineRule="auto"/>
        <w:rPr>
          <w:i/>
        </w:rPr>
      </w:pPr>
      <w:r>
        <w:rPr>
          <w:i/>
        </w:rPr>
        <w:t>Advisors</w:t>
      </w:r>
    </w:p>
    <w:p w14:paraId="03727F94" w14:textId="77777777" w:rsidR="00214261" w:rsidRDefault="00127EDC" w:rsidP="00B601FD">
      <w:pPr>
        <w:spacing w:after="0" w:line="240" w:lineRule="auto"/>
      </w:pPr>
      <w:r w:rsidRPr="00127EDC">
        <w:t>Adrian</w:t>
      </w:r>
      <w:r w:rsidR="00830DB3">
        <w:t>e</w:t>
      </w:r>
      <w:r w:rsidRPr="00127EDC">
        <w:t xml:space="preserve"> Borgias, </w:t>
      </w:r>
      <w:r w:rsidR="00214261">
        <w:t>Holly Davies – Department of Ecology</w:t>
      </w:r>
    </w:p>
    <w:p w14:paraId="5A94F69A" w14:textId="77777777" w:rsidR="003107BE" w:rsidRDefault="003107BE" w:rsidP="00B601FD">
      <w:pPr>
        <w:spacing w:after="0" w:line="240" w:lineRule="auto"/>
      </w:pPr>
      <w:r>
        <w:t>Jule Schultz (on phone) – Riverkeeper</w:t>
      </w:r>
    </w:p>
    <w:p w14:paraId="1FC567BC" w14:textId="77777777" w:rsidR="003107BE" w:rsidRDefault="003107BE" w:rsidP="00B601FD">
      <w:pPr>
        <w:spacing w:after="0" w:line="240" w:lineRule="auto"/>
      </w:pPr>
    </w:p>
    <w:p w14:paraId="73295F73" w14:textId="77777777" w:rsidR="00677BD7" w:rsidRDefault="00677BD7" w:rsidP="00B601FD">
      <w:pPr>
        <w:spacing w:after="0" w:line="240" w:lineRule="auto"/>
        <w:rPr>
          <w:i/>
        </w:rPr>
      </w:pPr>
      <w:r>
        <w:rPr>
          <w:i/>
        </w:rPr>
        <w:t>Public</w:t>
      </w:r>
    </w:p>
    <w:p w14:paraId="153FBBE9" w14:textId="77777777" w:rsidR="00F63D32" w:rsidRDefault="008703ED" w:rsidP="00B601FD">
      <w:pPr>
        <w:spacing w:after="0" w:line="240" w:lineRule="auto"/>
      </w:pPr>
      <w:r>
        <w:t xml:space="preserve">John Beacham </w:t>
      </w:r>
      <w:r w:rsidR="00127EDC">
        <w:t>–</w:t>
      </w:r>
      <w:r>
        <w:t xml:space="preserve"> City of Post Falls  </w:t>
      </w:r>
    </w:p>
    <w:p w14:paraId="49189A4F" w14:textId="77777777" w:rsidR="00F63D32" w:rsidRDefault="00F63D32" w:rsidP="00B601FD">
      <w:pPr>
        <w:spacing w:after="0" w:line="240" w:lineRule="auto"/>
      </w:pPr>
      <w:r>
        <w:t>Lisa Dally Wilson – Dally Environmental</w:t>
      </w:r>
    </w:p>
    <w:p w14:paraId="4FE4992C" w14:textId="77777777" w:rsidR="00F63D32" w:rsidRDefault="00F63D32" w:rsidP="00B601FD">
      <w:pPr>
        <w:spacing w:after="0" w:line="240" w:lineRule="auto"/>
      </w:pPr>
      <w:r>
        <w:t>Kevin Harris – Ruckleshaus Center</w:t>
      </w:r>
    </w:p>
    <w:p w14:paraId="0FD509F9" w14:textId="77777777" w:rsidR="008703ED" w:rsidRDefault="008703ED" w:rsidP="00B601FD">
      <w:pPr>
        <w:spacing w:after="0" w:line="240" w:lineRule="auto"/>
      </w:pPr>
      <w:r>
        <w:t>Don Keil –</w:t>
      </w:r>
      <w:r w:rsidR="00127EDC">
        <w:t xml:space="preserve"> </w:t>
      </w:r>
      <w:r>
        <w:t>City of Coeur d’Alene</w:t>
      </w:r>
    </w:p>
    <w:p w14:paraId="7AEC58E4" w14:textId="77777777" w:rsidR="008703ED" w:rsidRDefault="00BE2173" w:rsidP="00B601FD">
      <w:pPr>
        <w:spacing w:after="0" w:line="240" w:lineRule="auto"/>
      </w:pPr>
      <w:r>
        <w:t>Jim Kimball – JUB Engineering</w:t>
      </w:r>
    </w:p>
    <w:p w14:paraId="581B0EF3" w14:textId="77777777" w:rsidR="00BE2173" w:rsidRDefault="00BE2173" w:rsidP="00B601FD">
      <w:pPr>
        <w:spacing w:after="0" w:line="240" w:lineRule="auto"/>
      </w:pPr>
      <w:r>
        <w:t>Ken Windram –</w:t>
      </w:r>
      <w:r w:rsidR="00B601FD">
        <w:t xml:space="preserve"> </w:t>
      </w:r>
      <w:r>
        <w:t>Hayden Area Regional Sewer Board</w:t>
      </w:r>
    </w:p>
    <w:p w14:paraId="21195E51" w14:textId="77777777" w:rsidR="003107BE" w:rsidRDefault="003107BE" w:rsidP="00B601FD">
      <w:pPr>
        <w:spacing w:after="0" w:line="240" w:lineRule="auto"/>
      </w:pPr>
      <w:r>
        <w:t>Lisa Rodenburg (on phone) – Rutgers University</w:t>
      </w:r>
    </w:p>
    <w:p w14:paraId="6543FB53" w14:textId="77777777" w:rsidR="00214261" w:rsidRDefault="00214261" w:rsidP="00B601FD">
      <w:pPr>
        <w:spacing w:after="0" w:line="240" w:lineRule="auto"/>
      </w:pPr>
      <w:r>
        <w:t>J</w:t>
      </w:r>
      <w:r w:rsidR="00B601FD">
        <w:t>ule Schultz – Riverkeeper</w:t>
      </w:r>
    </w:p>
    <w:p w14:paraId="7C0D9E4D" w14:textId="77777777" w:rsidR="008703ED" w:rsidRDefault="003107BE" w:rsidP="00B601FD">
      <w:pPr>
        <w:spacing w:after="0" w:line="240" w:lineRule="auto"/>
      </w:pPr>
      <w:r w:rsidRPr="003107BE">
        <w:t xml:space="preserve">Dave </w:t>
      </w:r>
      <w:r w:rsidR="00B601FD">
        <w:t>Dilks – Limnotech</w:t>
      </w:r>
    </w:p>
    <w:p w14:paraId="317EF98B" w14:textId="77777777" w:rsidR="00B601FD" w:rsidRDefault="00B601FD" w:rsidP="00B601FD">
      <w:pPr>
        <w:spacing w:after="0" w:line="240" w:lineRule="auto"/>
      </w:pPr>
    </w:p>
    <w:p w14:paraId="6F380FDA" w14:textId="77777777" w:rsidR="00EE77F5" w:rsidRDefault="00B601FD" w:rsidP="006C09A5">
      <w:pPr>
        <w:spacing w:before="120" w:after="60" w:line="240" w:lineRule="auto"/>
        <w:rPr>
          <w:b/>
        </w:rPr>
      </w:pPr>
      <w:r>
        <w:rPr>
          <w:b/>
        </w:rPr>
        <w:t>Introductions and Agenda Review</w:t>
      </w:r>
    </w:p>
    <w:p w14:paraId="54C50D8A" w14:textId="77777777" w:rsidR="00EE77F5" w:rsidRDefault="00CC1067" w:rsidP="00B601FD">
      <w:pPr>
        <w:spacing w:after="0" w:line="240" w:lineRule="auto"/>
      </w:pPr>
      <w:r>
        <w:t xml:space="preserve">Facilitator </w:t>
      </w:r>
      <w:r w:rsidR="00EE77F5" w:rsidRPr="00EE77F5">
        <w:t xml:space="preserve">Chris </w:t>
      </w:r>
      <w:r w:rsidR="00EE77F5">
        <w:t>Page</w:t>
      </w:r>
      <w:r>
        <w:t xml:space="preserve"> (Ruckelshaus Center) welcomed everyone to the meeting and</w:t>
      </w:r>
      <w:r w:rsidR="00EE77F5">
        <w:t xml:space="preserve"> </w:t>
      </w:r>
      <w:r w:rsidR="00B601FD">
        <w:t xml:space="preserve">reviewed </w:t>
      </w:r>
      <w:r w:rsidR="00EE77F5" w:rsidRPr="00EE77F5">
        <w:t>the agenda</w:t>
      </w:r>
      <w:r w:rsidR="00B601FD">
        <w:t xml:space="preserve"> after a round of introductions</w:t>
      </w:r>
      <w:r w:rsidR="00EE77F5" w:rsidRPr="00EE77F5">
        <w:t>.</w:t>
      </w:r>
      <w:r w:rsidR="00EE77F5">
        <w:t xml:space="preserve"> No changes</w:t>
      </w:r>
      <w:r w:rsidR="00E26064">
        <w:t xml:space="preserve"> were made to the agenda</w:t>
      </w:r>
      <w:r w:rsidR="00EE77F5">
        <w:t>.</w:t>
      </w:r>
    </w:p>
    <w:p w14:paraId="26A53DFA" w14:textId="77777777" w:rsidR="00B601FD" w:rsidRDefault="00B601FD" w:rsidP="00B601FD">
      <w:pPr>
        <w:spacing w:after="0" w:line="240" w:lineRule="auto"/>
      </w:pPr>
    </w:p>
    <w:p w14:paraId="2C47674E" w14:textId="77777777" w:rsidR="00EE77F5" w:rsidRDefault="00EE77F5" w:rsidP="006C09A5">
      <w:pPr>
        <w:spacing w:before="120" w:after="60" w:line="240" w:lineRule="auto"/>
        <w:rPr>
          <w:b/>
        </w:rPr>
      </w:pPr>
      <w:r w:rsidRPr="00EE77F5">
        <w:rPr>
          <w:b/>
        </w:rPr>
        <w:t>TTWG Report and Technical Topics</w:t>
      </w:r>
    </w:p>
    <w:p w14:paraId="4A52D9C0" w14:textId="77777777" w:rsidR="003913B2" w:rsidRPr="00B601FD" w:rsidRDefault="00EE77F5" w:rsidP="00B601FD">
      <w:pPr>
        <w:spacing w:after="0" w:line="240" w:lineRule="auto"/>
        <w:rPr>
          <w:rFonts w:cs="Calibri"/>
        </w:rPr>
      </w:pPr>
      <w:r>
        <w:t xml:space="preserve">Bud </w:t>
      </w:r>
      <w:r w:rsidR="00B74586">
        <w:t xml:space="preserve">Leber </w:t>
      </w:r>
      <w:r w:rsidR="003913B2">
        <w:t>discussed</w:t>
      </w:r>
      <w:r>
        <w:t xml:space="preserve"> th</w:t>
      </w:r>
      <w:r w:rsidR="008D3744">
        <w:t xml:space="preserve">e PCB workshop proposal. Sessions </w:t>
      </w:r>
      <w:r>
        <w:t xml:space="preserve">suggested </w:t>
      </w:r>
      <w:r w:rsidR="008D3744">
        <w:t xml:space="preserve">by the </w:t>
      </w:r>
      <w:r w:rsidR="00B601FD">
        <w:t>T</w:t>
      </w:r>
      <w:r w:rsidR="008D3744">
        <w:t xml:space="preserve">echnical </w:t>
      </w:r>
      <w:r w:rsidR="00B601FD">
        <w:t>T</w:t>
      </w:r>
      <w:r w:rsidR="008D3744">
        <w:t xml:space="preserve">rack </w:t>
      </w:r>
      <w:r w:rsidR="00B601FD">
        <w:t>W</w:t>
      </w:r>
      <w:r w:rsidR="008D3744">
        <w:t xml:space="preserve">ork </w:t>
      </w:r>
      <w:r w:rsidR="00B601FD">
        <w:t>G</w:t>
      </w:r>
      <w:r w:rsidR="008D3744">
        <w:t xml:space="preserve">roup </w:t>
      </w:r>
      <w:r w:rsidR="00B601FD">
        <w:t xml:space="preserve">(TTWG) </w:t>
      </w:r>
      <w:r w:rsidR="008D3744">
        <w:t xml:space="preserve">include an </w:t>
      </w:r>
      <w:r>
        <w:t>analytical</w:t>
      </w:r>
      <w:r w:rsidR="008D3744">
        <w:t xml:space="preserve"> session</w:t>
      </w:r>
      <w:r>
        <w:t xml:space="preserve">, </w:t>
      </w:r>
      <w:r w:rsidR="008D3744">
        <w:t xml:space="preserve">a </w:t>
      </w:r>
      <w:r>
        <w:t>sampling</w:t>
      </w:r>
      <w:r w:rsidR="008D3744">
        <w:t xml:space="preserve"> session</w:t>
      </w:r>
      <w:r>
        <w:t xml:space="preserve">, </w:t>
      </w:r>
      <w:r w:rsidR="008D3744">
        <w:t xml:space="preserve">a </w:t>
      </w:r>
      <w:r>
        <w:t>mass balance</w:t>
      </w:r>
      <w:r w:rsidR="008D3744">
        <w:t xml:space="preserve"> session</w:t>
      </w:r>
      <w:r w:rsidR="00B601FD">
        <w:t xml:space="preserve">, and a “Where to Now?” session. </w:t>
      </w:r>
      <w:r w:rsidR="003913B2">
        <w:t xml:space="preserve">The </w:t>
      </w:r>
      <w:r w:rsidR="00B601FD">
        <w:t>T</w:t>
      </w:r>
      <w:r w:rsidR="003913B2">
        <w:t xml:space="preserve">ask </w:t>
      </w:r>
      <w:r w:rsidR="00B601FD">
        <w:t>F</w:t>
      </w:r>
      <w:r w:rsidR="003913B2" w:rsidRPr="00B601FD">
        <w:t xml:space="preserve">orce discussed potential venues, time frame, guest speakers and session idea. </w:t>
      </w:r>
      <w:r w:rsidR="003913B2" w:rsidRPr="00B601FD">
        <w:rPr>
          <w:rFonts w:cs="Calibri"/>
        </w:rPr>
        <w:t xml:space="preserve">The workshop will be held in a place that can accommodate multiple public guests and hold up to 80 people. Potential locations include but are not limited to WSU Spokane, Gonzaga, </w:t>
      </w:r>
      <w:r w:rsidR="005C77F5" w:rsidRPr="00B601FD">
        <w:rPr>
          <w:rFonts w:cs="Calibri"/>
        </w:rPr>
        <w:t xml:space="preserve">and </w:t>
      </w:r>
      <w:r w:rsidR="003913B2" w:rsidRPr="00B601FD">
        <w:rPr>
          <w:rFonts w:cs="Calibri"/>
        </w:rPr>
        <w:t xml:space="preserve">Washington DOT. </w:t>
      </w:r>
    </w:p>
    <w:p w14:paraId="6778805A" w14:textId="77777777" w:rsidR="00B601FD" w:rsidRDefault="00B601FD" w:rsidP="00B601FD">
      <w:pPr>
        <w:autoSpaceDE w:val="0"/>
        <w:autoSpaceDN w:val="0"/>
        <w:adjustRightInd w:val="0"/>
        <w:spacing w:after="0" w:line="240" w:lineRule="auto"/>
        <w:contextualSpacing/>
      </w:pPr>
    </w:p>
    <w:p w14:paraId="14E0E23A" w14:textId="125F2171" w:rsidR="003913B2" w:rsidRDefault="003913B2" w:rsidP="00B601FD">
      <w:pPr>
        <w:autoSpaceDE w:val="0"/>
        <w:autoSpaceDN w:val="0"/>
        <w:adjustRightInd w:val="0"/>
        <w:spacing w:after="0" w:line="240" w:lineRule="auto"/>
        <w:contextualSpacing/>
      </w:pPr>
      <w:r>
        <w:t xml:space="preserve">The following is a compiled list, in no particular order, of </w:t>
      </w:r>
      <w:r w:rsidR="00531BA5">
        <w:t xml:space="preserve">suggestions from </w:t>
      </w:r>
      <w:r w:rsidR="006C09A5">
        <w:t>the Task Force:</w:t>
      </w:r>
    </w:p>
    <w:p w14:paraId="12538345" w14:textId="6AF1DA1D" w:rsidR="003913B2" w:rsidRPr="003913B2" w:rsidRDefault="002773B2" w:rsidP="00B601FD">
      <w:pPr>
        <w:numPr>
          <w:ilvl w:val="0"/>
          <w:numId w:val="19"/>
        </w:numPr>
        <w:spacing w:after="0" w:line="240" w:lineRule="auto"/>
      </w:pPr>
      <w:r>
        <w:t xml:space="preserve">The workshop could </w:t>
      </w:r>
      <w:r w:rsidR="003913B2" w:rsidRPr="003913B2">
        <w:t xml:space="preserve">Include guests from other watersheds (Delaware River, San Francisco, Puget Sound, Jeff Louch from </w:t>
      </w:r>
      <w:r w:rsidR="006C09A5">
        <w:t xml:space="preserve">the </w:t>
      </w:r>
      <w:r w:rsidR="003913B2" w:rsidRPr="003913B2">
        <w:t>N</w:t>
      </w:r>
      <w:r w:rsidR="006C09A5">
        <w:t xml:space="preserve">ational </w:t>
      </w:r>
      <w:r w:rsidR="003913B2" w:rsidRPr="003913B2">
        <w:t>C</w:t>
      </w:r>
      <w:r w:rsidR="006C09A5">
        <w:t xml:space="preserve">ouncil on </w:t>
      </w:r>
      <w:r w:rsidR="003913B2" w:rsidRPr="003913B2">
        <w:t>A</w:t>
      </w:r>
      <w:r w:rsidR="006C09A5">
        <w:t xml:space="preserve">ir &amp; </w:t>
      </w:r>
      <w:r w:rsidR="003913B2" w:rsidRPr="003913B2">
        <w:t>S</w:t>
      </w:r>
      <w:r w:rsidR="006C09A5">
        <w:t xml:space="preserve">tream </w:t>
      </w:r>
      <w:r w:rsidR="003913B2" w:rsidRPr="003913B2">
        <w:t>I</w:t>
      </w:r>
      <w:r w:rsidR="006C09A5">
        <w:t>mprovement</w:t>
      </w:r>
      <w:r>
        <w:t>)</w:t>
      </w:r>
      <w:r w:rsidR="00531BA5">
        <w:t>.</w:t>
      </w:r>
    </w:p>
    <w:p w14:paraId="28DFAA63" w14:textId="5E1A92A5" w:rsidR="002773B2" w:rsidRDefault="002773B2" w:rsidP="00B601FD">
      <w:pPr>
        <w:numPr>
          <w:ilvl w:val="0"/>
          <w:numId w:val="19"/>
        </w:numPr>
        <w:spacing w:after="0" w:line="240" w:lineRule="auto"/>
      </w:pPr>
      <w:r>
        <w:t>The workshop needs a clear intention to guide the sessions and facilitate a clear outcome (i.e. evaluate the int</w:t>
      </w:r>
      <w:r w:rsidR="00531BA5">
        <w:t>ensive sampling and monitoring and d</w:t>
      </w:r>
      <w:r>
        <w:t>elineate a path forward)</w:t>
      </w:r>
      <w:r w:rsidR="00531BA5">
        <w:t>.</w:t>
      </w:r>
    </w:p>
    <w:p w14:paraId="19D7D11D" w14:textId="2ECF6CD2" w:rsidR="003913B2" w:rsidRPr="003913B2" w:rsidRDefault="003913B2" w:rsidP="00B601FD">
      <w:pPr>
        <w:numPr>
          <w:ilvl w:val="0"/>
          <w:numId w:val="19"/>
        </w:numPr>
        <w:spacing w:after="0" w:line="240" w:lineRule="auto"/>
      </w:pPr>
      <w:r w:rsidRPr="003913B2">
        <w:lastRenderedPageBreak/>
        <w:t>Session on PCB sources and PCBs in buildings and schools</w:t>
      </w:r>
    </w:p>
    <w:p w14:paraId="077DF33F" w14:textId="77777777" w:rsidR="003913B2" w:rsidRPr="003913B2" w:rsidRDefault="003913B2" w:rsidP="00B601FD">
      <w:pPr>
        <w:numPr>
          <w:ilvl w:val="0"/>
          <w:numId w:val="19"/>
        </w:numPr>
        <w:spacing w:after="0" w:line="240" w:lineRule="auto"/>
      </w:pPr>
      <w:r w:rsidRPr="003913B2">
        <w:t>Product testing</w:t>
      </w:r>
    </w:p>
    <w:p w14:paraId="05E963B9" w14:textId="653B005F" w:rsidR="003913B2" w:rsidRPr="003913B2" w:rsidRDefault="00531BA5" w:rsidP="00B601FD">
      <w:pPr>
        <w:numPr>
          <w:ilvl w:val="0"/>
          <w:numId w:val="19"/>
        </w:numPr>
        <w:spacing w:after="0" w:line="240" w:lineRule="auto"/>
      </w:pPr>
      <w:r>
        <w:t>A</w:t>
      </w:r>
      <w:r w:rsidR="003913B2" w:rsidRPr="003913B2">
        <w:t>ctivities the SRRTTF need</w:t>
      </w:r>
      <w:r w:rsidR="002773B2">
        <w:t>s to do</w:t>
      </w:r>
      <w:r>
        <w:t xml:space="preserve"> to</w:t>
      </w:r>
      <w:r w:rsidR="002773B2">
        <w:t xml:space="preserve"> show measurable progress and mes</w:t>
      </w:r>
      <w:r>
        <w:t>saging to the public</w:t>
      </w:r>
    </w:p>
    <w:p w14:paraId="65A36DA5" w14:textId="238A3C0B" w:rsidR="003913B2" w:rsidRPr="003913B2" w:rsidRDefault="003913B2" w:rsidP="00B601FD">
      <w:pPr>
        <w:numPr>
          <w:ilvl w:val="0"/>
          <w:numId w:val="19"/>
        </w:numPr>
        <w:spacing w:after="0" w:line="240" w:lineRule="auto"/>
      </w:pPr>
      <w:r w:rsidRPr="003913B2">
        <w:t>Lessons from others</w:t>
      </w:r>
      <w:r w:rsidR="002773B2">
        <w:t xml:space="preserve"> doing similar work (Delaware River, San Francisco, Puget Sound, experts)</w:t>
      </w:r>
    </w:p>
    <w:p w14:paraId="0875915A" w14:textId="77777777" w:rsidR="00531BA5" w:rsidRDefault="002773B2" w:rsidP="00B601FD">
      <w:pPr>
        <w:numPr>
          <w:ilvl w:val="0"/>
          <w:numId w:val="19"/>
        </w:numPr>
        <w:spacing w:after="0" w:line="240" w:lineRule="auto"/>
      </w:pPr>
      <w:r>
        <w:t xml:space="preserve">Will there be a final report from the workshop addressing the </w:t>
      </w:r>
      <w:r w:rsidR="003913B2" w:rsidRPr="003913B2">
        <w:t xml:space="preserve">results, </w:t>
      </w:r>
      <w:r>
        <w:t>conclusions, and a clear path forward?</w:t>
      </w:r>
    </w:p>
    <w:p w14:paraId="49B2510C" w14:textId="2155EEC8" w:rsidR="003913B2" w:rsidRPr="003913B2" w:rsidRDefault="003913B2" w:rsidP="00B601FD">
      <w:pPr>
        <w:numPr>
          <w:ilvl w:val="0"/>
          <w:numId w:val="19"/>
        </w:numPr>
        <w:spacing w:after="0" w:line="240" w:lineRule="auto"/>
      </w:pPr>
      <w:r w:rsidRPr="003913B2">
        <w:t>How does this process work for addressing other substances?</w:t>
      </w:r>
    </w:p>
    <w:p w14:paraId="58DC07BC" w14:textId="00028143" w:rsidR="003913B2" w:rsidRPr="003913B2" w:rsidRDefault="003913B2" w:rsidP="00B601FD">
      <w:pPr>
        <w:numPr>
          <w:ilvl w:val="0"/>
          <w:numId w:val="19"/>
        </w:numPr>
        <w:spacing w:after="0" w:line="240" w:lineRule="auto"/>
      </w:pPr>
      <w:r w:rsidRPr="003913B2">
        <w:t>Ecology personnel to be included in their areas of expertise (procedures for evaluation of laboratory data, blank corrections, sampling, E</w:t>
      </w:r>
      <w:r w:rsidR="00531BA5">
        <w:t xml:space="preserve">nvironmental </w:t>
      </w:r>
      <w:r w:rsidRPr="003913B2">
        <w:t>I</w:t>
      </w:r>
      <w:r w:rsidR="00531BA5">
        <w:t xml:space="preserve">nformation </w:t>
      </w:r>
      <w:r w:rsidRPr="003913B2">
        <w:t>M</w:t>
      </w:r>
      <w:r w:rsidR="00531BA5">
        <w:t>anag</w:t>
      </w:r>
      <w:r w:rsidR="00CC7CFE">
        <w:t>e</w:t>
      </w:r>
      <w:r w:rsidR="00531BA5">
        <w:t>ment</w:t>
      </w:r>
    </w:p>
    <w:p w14:paraId="0C2190FD" w14:textId="77777777" w:rsidR="003913B2" w:rsidRPr="003913B2" w:rsidRDefault="003913B2" w:rsidP="00B601FD">
      <w:pPr>
        <w:numPr>
          <w:ilvl w:val="0"/>
          <w:numId w:val="19"/>
        </w:numPr>
        <w:spacing w:after="0" w:line="240" w:lineRule="auto"/>
      </w:pPr>
      <w:r w:rsidRPr="003913B2">
        <w:t>Statistical discussion and relevance of data at low concentrations</w:t>
      </w:r>
    </w:p>
    <w:p w14:paraId="7EC3FDA4" w14:textId="18F8C534" w:rsidR="003913B2" w:rsidRPr="003913B2" w:rsidRDefault="003913B2" w:rsidP="00B601FD">
      <w:pPr>
        <w:numPr>
          <w:ilvl w:val="0"/>
          <w:numId w:val="19"/>
        </w:numPr>
        <w:spacing w:after="0" w:line="240" w:lineRule="auto"/>
      </w:pPr>
      <w:r w:rsidRPr="003913B2">
        <w:t xml:space="preserve">Refocus on SRRTTF vision and adaptive management – is what we are doing helping? Do </w:t>
      </w:r>
      <w:r w:rsidR="00CC7CFE">
        <w:t>a</w:t>
      </w:r>
      <w:r w:rsidRPr="003913B2">
        <w:t xml:space="preserve"> SWOT. (Strengths, Weaknesses, Opportunities, </w:t>
      </w:r>
      <w:r w:rsidR="00481789" w:rsidRPr="003913B2">
        <w:t>Threats</w:t>
      </w:r>
      <w:r w:rsidRPr="003913B2">
        <w:t>) analysis and identify a path forward.</w:t>
      </w:r>
    </w:p>
    <w:p w14:paraId="3FE68493" w14:textId="77777777" w:rsidR="003913B2" w:rsidRDefault="003913B2" w:rsidP="00B601FD">
      <w:pPr>
        <w:spacing w:after="0" w:line="240" w:lineRule="auto"/>
      </w:pPr>
    </w:p>
    <w:p w14:paraId="0978C8F5" w14:textId="0F4E64F5" w:rsidR="00BF76F7" w:rsidRDefault="001A1A34" w:rsidP="00B601FD">
      <w:pPr>
        <w:spacing w:after="0" w:line="240" w:lineRule="auto"/>
      </w:pPr>
      <w:r>
        <w:t>ACTION ITEM: Kara Whitman (</w:t>
      </w:r>
      <w:r w:rsidR="00481789">
        <w:t>Ruckelshaus</w:t>
      </w:r>
      <w:r>
        <w:t xml:space="preserve"> Center)</w:t>
      </w:r>
      <w:r w:rsidR="002802A3">
        <w:t xml:space="preserve"> will post a revised copy of the workshop session overview to the </w:t>
      </w:r>
      <w:r w:rsidR="00CC7CFE">
        <w:t>T</w:t>
      </w:r>
      <w:r w:rsidR="002802A3">
        <w:t>ask</w:t>
      </w:r>
      <w:r w:rsidR="00CC7CFE">
        <w:t xml:space="preserve"> F</w:t>
      </w:r>
      <w:r w:rsidR="002802A3">
        <w:t>orce website and</w:t>
      </w:r>
      <w:r>
        <w:t xml:space="preserve"> email </w:t>
      </w:r>
      <w:r w:rsidR="00CC7CFE">
        <w:t>T</w:t>
      </w:r>
      <w:r>
        <w:t>ask</w:t>
      </w:r>
      <w:r w:rsidR="00CC7CFE">
        <w:t xml:space="preserve"> F</w:t>
      </w:r>
      <w:r>
        <w:t>orce members requesting feedback on the workshop and topic idea</w:t>
      </w:r>
      <w:r w:rsidR="002802A3">
        <w:t>s</w:t>
      </w:r>
      <w:r>
        <w:t xml:space="preserve"> to be addressed at the October 1</w:t>
      </w:r>
      <w:r w:rsidRPr="001A1A34">
        <w:rPr>
          <w:vertAlign w:val="superscript"/>
        </w:rPr>
        <w:t>st</w:t>
      </w:r>
      <w:r>
        <w:t>, 2014 T</w:t>
      </w:r>
      <w:r w:rsidR="00CC7CFE">
        <w:t xml:space="preserve">TWG </w:t>
      </w:r>
      <w:r>
        <w:t>meeting</w:t>
      </w:r>
      <w:r w:rsidR="00B601FD">
        <w:t xml:space="preserve">. </w:t>
      </w:r>
      <w:r>
        <w:t>(COMPLETED)</w:t>
      </w:r>
    </w:p>
    <w:p w14:paraId="1AB209AD" w14:textId="77777777" w:rsidR="00CC7CFE" w:rsidRDefault="00CC7CFE" w:rsidP="00B601FD">
      <w:pPr>
        <w:spacing w:after="0" w:line="240" w:lineRule="auto"/>
      </w:pPr>
    </w:p>
    <w:p w14:paraId="79C21267" w14:textId="3D8751BB" w:rsidR="002802A3" w:rsidRDefault="002802A3" w:rsidP="00B601FD">
      <w:pPr>
        <w:spacing w:after="0" w:line="240" w:lineRule="auto"/>
      </w:pPr>
      <w:r>
        <w:t xml:space="preserve">DECISION: The TTWG </w:t>
      </w:r>
      <w:r w:rsidR="00CC7CFE">
        <w:t xml:space="preserve">will proceed </w:t>
      </w:r>
      <w:r>
        <w:t xml:space="preserve">with the next phase of planning for the January workshop at </w:t>
      </w:r>
      <w:r w:rsidR="00CC7CFE">
        <w:t xml:space="preserve">its </w:t>
      </w:r>
      <w:r>
        <w:t>next meeting on October 1</w:t>
      </w:r>
      <w:r w:rsidRPr="00326DAA">
        <w:rPr>
          <w:vertAlign w:val="superscript"/>
        </w:rPr>
        <w:t>st</w:t>
      </w:r>
      <w:r w:rsidR="00CC7CFE">
        <w:t>, 2014.</w:t>
      </w:r>
    </w:p>
    <w:p w14:paraId="2548EA7D" w14:textId="77777777" w:rsidR="00B601FD" w:rsidRDefault="00B601FD" w:rsidP="00B601FD">
      <w:pPr>
        <w:spacing w:after="0" w:line="240" w:lineRule="auto"/>
        <w:rPr>
          <w:b/>
        </w:rPr>
      </w:pPr>
    </w:p>
    <w:p w14:paraId="795874A1" w14:textId="77777777" w:rsidR="002D51F1" w:rsidRPr="00B8755B" w:rsidRDefault="00B8755B" w:rsidP="00CC7CFE">
      <w:pPr>
        <w:spacing w:before="120" w:after="60" w:line="240" w:lineRule="auto"/>
        <w:rPr>
          <w:b/>
        </w:rPr>
      </w:pPr>
      <w:r w:rsidRPr="00B8755B">
        <w:rPr>
          <w:b/>
        </w:rPr>
        <w:t>Spokane Count</w:t>
      </w:r>
      <w:r w:rsidR="001B42C8">
        <w:rPr>
          <w:b/>
        </w:rPr>
        <w:t>y</w:t>
      </w:r>
      <w:r w:rsidRPr="00B8755B">
        <w:rPr>
          <w:b/>
        </w:rPr>
        <w:t>’s 2014 Annual Report + Positive Matrix Factorization Analysis</w:t>
      </w:r>
    </w:p>
    <w:p w14:paraId="517F3FAB" w14:textId="4C57CE96" w:rsidR="00B8755B" w:rsidRPr="00314AA6" w:rsidRDefault="001B42C8" w:rsidP="00B601FD">
      <w:pPr>
        <w:spacing w:after="0" w:line="240" w:lineRule="auto"/>
      </w:pPr>
      <w:r w:rsidRPr="00314AA6">
        <w:rPr>
          <w:i/>
        </w:rPr>
        <w:t xml:space="preserve">Presentation by </w:t>
      </w:r>
      <w:r w:rsidR="00B8755B" w:rsidRPr="00314AA6">
        <w:rPr>
          <w:i/>
        </w:rPr>
        <w:t>Mike Milne</w:t>
      </w:r>
      <w:r w:rsidRPr="00314AA6">
        <w:rPr>
          <w:i/>
        </w:rPr>
        <w:t>, Spokane County</w:t>
      </w:r>
      <w:r w:rsidR="004745D1">
        <w:rPr>
          <w:i/>
        </w:rPr>
        <w:t xml:space="preserve">, and Dr. Lisa Rodenburg, Rutgers University  </w:t>
      </w:r>
      <w:r w:rsidR="004005E1" w:rsidRPr="00314AA6">
        <w:t xml:space="preserve">– </w:t>
      </w:r>
      <w:r w:rsidRPr="00314AA6">
        <w:t xml:space="preserve"> Mike Milne gave a</w:t>
      </w:r>
      <w:r w:rsidR="00446586" w:rsidRPr="00314AA6">
        <w:t>n overview of the County PCB</w:t>
      </w:r>
      <w:r w:rsidR="00314AA6">
        <w:t>, PBDE and dioxin</w:t>
      </w:r>
      <w:r w:rsidR="00446586" w:rsidRPr="00314AA6">
        <w:t xml:space="preserve"> sampling results as part of the </w:t>
      </w:r>
      <w:r w:rsidRPr="00314AA6">
        <w:t>Spokane County Toxics Management April 2014 Annual Report</w:t>
      </w:r>
      <w:r w:rsidR="00B601FD">
        <w:t xml:space="preserve">. </w:t>
      </w:r>
      <w:r w:rsidR="00446586" w:rsidRPr="00314AA6">
        <w:t xml:space="preserve">The County permit requires </w:t>
      </w:r>
      <w:r w:rsidR="007B5E78" w:rsidRPr="00314AA6">
        <w:t xml:space="preserve">the </w:t>
      </w:r>
      <w:r w:rsidR="00446586" w:rsidRPr="00314AA6">
        <w:t xml:space="preserve">trackdown of </w:t>
      </w:r>
      <w:r w:rsidR="00314AA6" w:rsidRPr="00314AA6">
        <w:t>Polychlorinated biphenyls (</w:t>
      </w:r>
      <w:r w:rsidR="00446586" w:rsidRPr="00314AA6">
        <w:t>PCBs</w:t>
      </w:r>
      <w:r w:rsidR="00314AA6" w:rsidRPr="00314AA6">
        <w:t>)</w:t>
      </w:r>
      <w:r w:rsidR="00446586" w:rsidRPr="00314AA6">
        <w:t xml:space="preserve">, </w:t>
      </w:r>
      <w:r w:rsidR="00314AA6" w:rsidRPr="00314AA6">
        <w:t>Polybrominated Diphenyl Ethers (</w:t>
      </w:r>
      <w:r w:rsidR="00446586" w:rsidRPr="00314AA6">
        <w:t>PBDEs</w:t>
      </w:r>
      <w:r w:rsidR="00314AA6" w:rsidRPr="00314AA6">
        <w:t>)</w:t>
      </w:r>
      <w:r w:rsidR="00446586" w:rsidRPr="00314AA6">
        <w:t xml:space="preserve">, and Dioxin </w:t>
      </w:r>
      <w:r w:rsidR="00446586" w:rsidRPr="00314AA6">
        <w:rPr>
          <w:rFonts w:asciiTheme="minorHAnsi" w:hAnsiTheme="minorHAnsi"/>
        </w:rPr>
        <w:t>(</w:t>
      </w:r>
      <w:r w:rsidR="00314AA6" w:rsidRPr="00314AA6">
        <w:rPr>
          <w:rFonts w:asciiTheme="minorHAnsi" w:hAnsiTheme="minorHAnsi"/>
        </w:rPr>
        <w:t>2,</w:t>
      </w:r>
      <w:r w:rsidR="004745D1">
        <w:rPr>
          <w:rFonts w:asciiTheme="minorHAnsi" w:hAnsiTheme="minorHAnsi"/>
        </w:rPr>
        <w:t xml:space="preserve"> </w:t>
      </w:r>
      <w:r w:rsidR="00314AA6" w:rsidRPr="00314AA6">
        <w:rPr>
          <w:rFonts w:asciiTheme="minorHAnsi" w:hAnsiTheme="minorHAnsi"/>
        </w:rPr>
        <w:t>3,</w:t>
      </w:r>
      <w:r w:rsidR="004745D1">
        <w:rPr>
          <w:rFonts w:asciiTheme="minorHAnsi" w:hAnsiTheme="minorHAnsi"/>
        </w:rPr>
        <w:t xml:space="preserve"> </w:t>
      </w:r>
      <w:r w:rsidR="00314AA6" w:rsidRPr="00314AA6">
        <w:rPr>
          <w:rFonts w:asciiTheme="minorHAnsi" w:hAnsiTheme="minorHAnsi"/>
        </w:rPr>
        <w:t>7,</w:t>
      </w:r>
      <w:r w:rsidR="004745D1">
        <w:rPr>
          <w:rFonts w:asciiTheme="minorHAnsi" w:hAnsiTheme="minorHAnsi"/>
        </w:rPr>
        <w:t xml:space="preserve"> </w:t>
      </w:r>
      <w:r w:rsidR="00314AA6" w:rsidRPr="00314AA6">
        <w:rPr>
          <w:rFonts w:asciiTheme="minorHAnsi" w:hAnsiTheme="minorHAnsi"/>
        </w:rPr>
        <w:t xml:space="preserve">8 </w:t>
      </w:r>
      <w:r w:rsidR="00446586" w:rsidRPr="00314AA6">
        <w:rPr>
          <w:rFonts w:asciiTheme="minorHAnsi" w:hAnsiTheme="minorHAnsi" w:cs="Arial"/>
          <w:bCs/>
          <w:color w:val="252525"/>
          <w:shd w:val="clear" w:color="auto" w:fill="FFFFFF"/>
        </w:rPr>
        <w:t xml:space="preserve">Tetrachlorodibenzodioxin or </w:t>
      </w:r>
      <w:r w:rsidR="00446586" w:rsidRPr="00314AA6">
        <w:rPr>
          <w:rFonts w:asciiTheme="minorHAnsi" w:hAnsiTheme="minorHAnsi"/>
        </w:rPr>
        <w:t>TCDD)</w:t>
      </w:r>
      <w:r w:rsidR="004745D1">
        <w:rPr>
          <w:rFonts w:asciiTheme="minorHAnsi" w:hAnsiTheme="minorHAnsi"/>
        </w:rPr>
        <w:t>.</w:t>
      </w:r>
    </w:p>
    <w:p w14:paraId="2B0C21BF" w14:textId="77777777" w:rsidR="004745D1" w:rsidRDefault="004745D1" w:rsidP="00B601FD">
      <w:pPr>
        <w:spacing w:after="0" w:line="240" w:lineRule="auto"/>
      </w:pPr>
    </w:p>
    <w:p w14:paraId="19BA74A4" w14:textId="77777777" w:rsidR="001B42C8" w:rsidRDefault="001B42C8" w:rsidP="00B601FD">
      <w:pPr>
        <w:spacing w:after="0" w:line="240" w:lineRule="auto"/>
      </w:pPr>
      <w:r>
        <w:t xml:space="preserve">Some highlights from </w:t>
      </w:r>
      <w:r w:rsidR="00446586">
        <w:t>the</w:t>
      </w:r>
      <w:r>
        <w:t xml:space="preserve"> presentation: </w:t>
      </w:r>
    </w:p>
    <w:p w14:paraId="2119722D" w14:textId="6EE0B660" w:rsidR="00B8755B" w:rsidRDefault="00B8755B" w:rsidP="00B601FD">
      <w:pPr>
        <w:pStyle w:val="ListParagraph"/>
        <w:numPr>
          <w:ilvl w:val="0"/>
          <w:numId w:val="20"/>
        </w:numPr>
        <w:spacing w:after="0" w:line="240" w:lineRule="auto"/>
      </w:pPr>
      <w:r>
        <w:t xml:space="preserve">Spokane </w:t>
      </w:r>
      <w:r w:rsidR="00830DB3">
        <w:t>C</w:t>
      </w:r>
      <w:r>
        <w:t xml:space="preserve">ounty </w:t>
      </w:r>
      <w:r w:rsidR="00830DB3">
        <w:t>Regional W</w:t>
      </w:r>
      <w:r>
        <w:t xml:space="preserve">ater </w:t>
      </w:r>
      <w:r w:rsidR="00830DB3">
        <w:t>R</w:t>
      </w:r>
      <w:r>
        <w:t xml:space="preserve">eclamation </w:t>
      </w:r>
      <w:r w:rsidR="004745D1">
        <w:t>F</w:t>
      </w:r>
      <w:r>
        <w:t xml:space="preserve">acility </w:t>
      </w:r>
      <w:r w:rsidR="004745D1">
        <w:t xml:space="preserve">(SCRWRF) </w:t>
      </w:r>
      <w:r>
        <w:t>completed in 2011</w:t>
      </w:r>
      <w:r w:rsidR="00B601FD">
        <w:t xml:space="preserve"> </w:t>
      </w:r>
      <w:r w:rsidR="004745D1">
        <w:t>(NPDES permit</w:t>
      </w:r>
      <w:r>
        <w:t xml:space="preserve"> </w:t>
      </w:r>
      <w:r w:rsidR="004745D1">
        <w:t xml:space="preserve">Nov. </w:t>
      </w:r>
      <w:r w:rsidR="00830DB3">
        <w:t>2011</w:t>
      </w:r>
      <w:r>
        <w:t>-Nov. 2016</w:t>
      </w:r>
      <w:r w:rsidR="004745D1">
        <w:t>)</w:t>
      </w:r>
      <w:r>
        <w:t xml:space="preserve">. </w:t>
      </w:r>
      <w:r w:rsidR="004745D1">
        <w:t>P</w:t>
      </w:r>
      <w:r>
        <w:t>ermit includes influent and effluent monitoring</w:t>
      </w:r>
      <w:r w:rsidR="004745D1">
        <w:t>,</w:t>
      </w:r>
      <w:r>
        <w:t xml:space="preserve"> toxics </w:t>
      </w:r>
      <w:r w:rsidR="00830DB3">
        <w:t xml:space="preserve">reductions </w:t>
      </w:r>
      <w:r w:rsidR="004745D1">
        <w:t>plan.</w:t>
      </w:r>
    </w:p>
    <w:p w14:paraId="683DDD78" w14:textId="6EF45E7B" w:rsidR="00B8755B" w:rsidRDefault="007B5E78" w:rsidP="00B601FD">
      <w:pPr>
        <w:pStyle w:val="ListParagraph"/>
        <w:numPr>
          <w:ilvl w:val="0"/>
          <w:numId w:val="20"/>
        </w:numPr>
        <w:spacing w:after="0" w:line="240" w:lineRule="auto"/>
      </w:pPr>
      <w:r>
        <w:t xml:space="preserve">The County is </w:t>
      </w:r>
      <w:r w:rsidR="00B8755B">
        <w:t xml:space="preserve">currently </w:t>
      </w:r>
      <w:r w:rsidR="000545A8">
        <w:t>sampling and analyzing</w:t>
      </w:r>
      <w:r w:rsidR="00B8755B">
        <w:t xml:space="preserve"> </w:t>
      </w:r>
      <w:r>
        <w:t>PCBs (209 congeners), PBDEs (46 congeners) and Dioxin (2, 3, 7, 8</w:t>
      </w:r>
      <w:r w:rsidR="004745D1">
        <w:t xml:space="preserve"> </w:t>
      </w:r>
      <w:r>
        <w:t>TCDD) in influent on a bimonthly basis</w:t>
      </w:r>
      <w:r w:rsidR="004745D1">
        <w:t>,</w:t>
      </w:r>
      <w:r w:rsidR="00B8755B">
        <w:t xml:space="preserve"> and effl</w:t>
      </w:r>
      <w:r w:rsidR="000545A8">
        <w:t xml:space="preserve">uent on a </w:t>
      </w:r>
      <w:r w:rsidR="00B8755B">
        <w:t>quarterly</w:t>
      </w:r>
      <w:r w:rsidR="000545A8">
        <w:t xml:space="preserve"> basis</w:t>
      </w:r>
      <w:r w:rsidR="004745D1">
        <w:t>,</w:t>
      </w:r>
      <w:r w:rsidR="00830DB3">
        <w:t xml:space="preserve"> </w:t>
      </w:r>
      <w:r w:rsidR="004745D1">
        <w:t>u</w:t>
      </w:r>
      <w:r w:rsidR="00830DB3">
        <w:t>sing the</w:t>
      </w:r>
      <w:r w:rsidR="000545A8">
        <w:t xml:space="preserve"> </w:t>
      </w:r>
      <w:r w:rsidR="00830DB3">
        <w:t xml:space="preserve">EPA </w:t>
      </w:r>
      <w:r w:rsidR="00B8755B">
        <w:t>1668 method</w:t>
      </w:r>
      <w:r w:rsidR="004745D1">
        <w:t>.</w:t>
      </w:r>
    </w:p>
    <w:p w14:paraId="28663C7B" w14:textId="77777777" w:rsidR="00B8755B" w:rsidRDefault="000545A8" w:rsidP="00B601FD">
      <w:pPr>
        <w:pStyle w:val="ListParagraph"/>
        <w:numPr>
          <w:ilvl w:val="0"/>
          <w:numId w:val="20"/>
        </w:numPr>
        <w:spacing w:after="0" w:line="240" w:lineRule="auto"/>
      </w:pPr>
      <w:r>
        <w:t xml:space="preserve">Source identification trackdown sampling: 4 sampling events at </w:t>
      </w:r>
      <w:r w:rsidR="00B8755B">
        <w:t xml:space="preserve">3 locations </w:t>
      </w:r>
      <w:r>
        <w:t xml:space="preserve">in the collection system upstream of influent pump stations </w:t>
      </w:r>
      <w:r w:rsidR="00B8755B">
        <w:t>(100,000 people connected)</w:t>
      </w:r>
      <w:r>
        <w:t xml:space="preserve"> </w:t>
      </w:r>
    </w:p>
    <w:p w14:paraId="752B0622" w14:textId="77777777" w:rsidR="00B8755B" w:rsidRDefault="00B8755B" w:rsidP="00B601FD">
      <w:pPr>
        <w:pStyle w:val="ListParagraph"/>
        <w:numPr>
          <w:ilvl w:val="0"/>
          <w:numId w:val="20"/>
        </w:numPr>
        <w:spacing w:after="0" w:line="240" w:lineRule="auto"/>
      </w:pPr>
      <w:r>
        <w:t>Techniques: 24 hour composite samplers, Teflon tubing, pre cleaned by lab</w:t>
      </w:r>
      <w:r w:rsidR="000545A8">
        <w:t>. Collect r</w:t>
      </w:r>
      <w:r w:rsidR="0095794D">
        <w:t>insate</w:t>
      </w:r>
      <w:r w:rsidR="000545A8">
        <w:t xml:space="preserve"> blanks</w:t>
      </w:r>
      <w:r w:rsidR="0095794D">
        <w:t>, travel</w:t>
      </w:r>
      <w:r w:rsidR="000545A8">
        <w:t xml:space="preserve"> blanks</w:t>
      </w:r>
      <w:r w:rsidR="0095794D">
        <w:t xml:space="preserve"> and method (lab) blanks.</w:t>
      </w:r>
    </w:p>
    <w:p w14:paraId="0E97432F" w14:textId="55FC53C7" w:rsidR="0095794D" w:rsidRDefault="0095794D" w:rsidP="00B601FD">
      <w:pPr>
        <w:pStyle w:val="ListParagraph"/>
        <w:numPr>
          <w:ilvl w:val="0"/>
          <w:numId w:val="20"/>
        </w:numPr>
        <w:spacing w:after="0" w:line="240" w:lineRule="auto"/>
      </w:pPr>
      <w:r>
        <w:t xml:space="preserve">Data quality review: </w:t>
      </w:r>
      <w:r w:rsidR="00D74214">
        <w:t>Quality Assurance Project Plan</w:t>
      </w:r>
      <w:r w:rsidR="001459D9">
        <w:t xml:space="preserve"> (QAPP)</w:t>
      </w:r>
      <w:r w:rsidR="00D74214">
        <w:t>; examining:</w:t>
      </w:r>
      <w:r>
        <w:t xml:space="preserve"> </w:t>
      </w:r>
      <w:r w:rsidR="00D74214">
        <w:t>chain of custody (COC)</w:t>
      </w:r>
      <w:r>
        <w:t>, surrogate recovery, reporting limits, duplicate</w:t>
      </w:r>
      <w:r w:rsidR="00D74214">
        <w:t xml:space="preserve"> relative percent difference, outlier identification, blank factors, travel and rinsate blanks, homolog patterns and totals comparisons. </w:t>
      </w:r>
    </w:p>
    <w:p w14:paraId="5BF92D3A" w14:textId="7633CAA6" w:rsidR="0095794D" w:rsidRDefault="004745D1" w:rsidP="00B601FD">
      <w:pPr>
        <w:pStyle w:val="ListParagraph"/>
        <w:numPr>
          <w:ilvl w:val="0"/>
          <w:numId w:val="20"/>
        </w:numPr>
        <w:spacing w:after="0" w:line="240" w:lineRule="auto"/>
      </w:pPr>
      <w:r>
        <w:t xml:space="preserve">From </w:t>
      </w:r>
      <w:r w:rsidR="00830DB3">
        <w:t xml:space="preserve">October 2012 and December 2013, </w:t>
      </w:r>
      <w:r w:rsidR="00095A3E">
        <w:t>t</w:t>
      </w:r>
      <w:r w:rsidR="00D74214">
        <w:t xml:space="preserve">he </w:t>
      </w:r>
      <w:r w:rsidR="0095794D">
        <w:t>SCRWRF</w:t>
      </w:r>
      <w:r w:rsidR="00D74214">
        <w:t xml:space="preserve"> removed abo</w:t>
      </w:r>
      <w:r w:rsidR="0095794D">
        <w:t>ut 97% of total PCBs</w:t>
      </w:r>
      <w:r w:rsidR="00D74214">
        <w:t xml:space="preserve"> </w:t>
      </w:r>
      <w:r>
        <w:t xml:space="preserve">and </w:t>
      </w:r>
      <w:r w:rsidR="00D74214">
        <w:t>99% of PBDEs</w:t>
      </w:r>
      <w:r>
        <w:t xml:space="preserve"> from the influent. Dioxin was only detected in one</w:t>
      </w:r>
      <w:r w:rsidR="00D74214">
        <w:t xml:space="preserve"> sa</w:t>
      </w:r>
      <w:r>
        <w:t>mple.</w:t>
      </w:r>
    </w:p>
    <w:p w14:paraId="656D4707" w14:textId="5F4DDC0C" w:rsidR="00807468" w:rsidRPr="00684032" w:rsidRDefault="00807468" w:rsidP="00B601FD">
      <w:pPr>
        <w:pStyle w:val="ListParagraph"/>
        <w:numPr>
          <w:ilvl w:val="0"/>
          <w:numId w:val="20"/>
        </w:numPr>
        <w:spacing w:after="0" w:line="240" w:lineRule="auto"/>
      </w:pPr>
      <w:r w:rsidRPr="00684032">
        <w:t>Concentrations are reported without blank corrections</w:t>
      </w:r>
      <w:r w:rsidR="00095A3E">
        <w:t xml:space="preserve"> or censoring</w:t>
      </w:r>
      <w:r w:rsidR="004745D1">
        <w:t>.</w:t>
      </w:r>
    </w:p>
    <w:p w14:paraId="4D0485E1" w14:textId="77777777" w:rsidR="00B601FD" w:rsidRDefault="00B601FD" w:rsidP="00B601FD">
      <w:pPr>
        <w:spacing w:after="0" w:line="240" w:lineRule="auto"/>
      </w:pPr>
    </w:p>
    <w:p w14:paraId="4190D730" w14:textId="4C042D26" w:rsidR="0099091C" w:rsidRDefault="00684032" w:rsidP="00B601FD">
      <w:pPr>
        <w:spacing w:after="0" w:line="240" w:lineRule="auto"/>
      </w:pPr>
      <w:r>
        <w:t>Question: I</w:t>
      </w:r>
      <w:r w:rsidR="0099091C">
        <w:t>s the county removing p</w:t>
      </w:r>
      <w:r w:rsidR="004745D1">
        <w:t>hosphorus year-</w:t>
      </w:r>
      <w:r>
        <w:t>round</w:t>
      </w:r>
      <w:r w:rsidR="004745D1">
        <w:t>?</w:t>
      </w:r>
      <w:r w:rsidR="00B601FD">
        <w:t xml:space="preserve"> </w:t>
      </w:r>
      <w:r>
        <w:t>Answer: Y</w:t>
      </w:r>
      <w:r w:rsidR="0099091C">
        <w:t xml:space="preserve">es, </w:t>
      </w:r>
      <w:r w:rsidR="004745D1">
        <w:t>phosphorus is treated year-</w:t>
      </w:r>
      <w:r>
        <w:t>round through the addition of Ferric Chloride</w:t>
      </w:r>
      <w:r w:rsidR="001D5DCC">
        <w:t xml:space="preserve"> and a membrane removal technology</w:t>
      </w:r>
      <w:r>
        <w:t>.</w:t>
      </w:r>
      <w:r w:rsidR="0099091C">
        <w:t xml:space="preserve"> </w:t>
      </w:r>
      <w:r w:rsidR="00677A60">
        <w:t xml:space="preserve">Questions for future consideration: </w:t>
      </w:r>
      <w:r w:rsidR="0099091C">
        <w:t xml:space="preserve">Is there a difference when </w:t>
      </w:r>
      <w:r w:rsidR="007D05D5">
        <w:t xml:space="preserve">less </w:t>
      </w:r>
      <w:r w:rsidR="00677A60">
        <w:t>Ferric Chloride</w:t>
      </w:r>
      <w:r w:rsidR="007D05D5">
        <w:t xml:space="preserve"> is used</w:t>
      </w:r>
      <w:r w:rsidR="00677A60">
        <w:t>?</w:t>
      </w:r>
      <w:r w:rsidR="0099091C">
        <w:t xml:space="preserve"> Does this help in removing </w:t>
      </w:r>
      <w:r w:rsidR="00677A60">
        <w:t>other toxics</w:t>
      </w:r>
      <w:r w:rsidR="0099091C">
        <w:t xml:space="preserve">? </w:t>
      </w:r>
    </w:p>
    <w:p w14:paraId="6C9C2D18" w14:textId="77777777" w:rsidR="00B601FD" w:rsidRDefault="00B601FD" w:rsidP="00B601FD">
      <w:pPr>
        <w:spacing w:after="0" w:line="240" w:lineRule="auto"/>
        <w:rPr>
          <w:i/>
        </w:rPr>
      </w:pPr>
    </w:p>
    <w:p w14:paraId="09B1A9C0" w14:textId="264F6783" w:rsidR="00446586" w:rsidRPr="00DB1DC8" w:rsidRDefault="00446586" w:rsidP="00B601FD">
      <w:pPr>
        <w:spacing w:after="0" w:line="240" w:lineRule="auto"/>
      </w:pPr>
      <w:r>
        <w:rPr>
          <w:i/>
        </w:rPr>
        <w:t xml:space="preserve">Presentation by </w:t>
      </w:r>
      <w:r w:rsidRPr="001B42C8">
        <w:rPr>
          <w:i/>
        </w:rPr>
        <w:t>Dr. Lisa Rodenburg, Rutgers University</w:t>
      </w:r>
      <w:r>
        <w:t xml:space="preserve"> -- Dr. Rodenburg presented </w:t>
      </w:r>
      <w:r w:rsidR="004745D1">
        <w:t xml:space="preserve">her </w:t>
      </w:r>
      <w:r w:rsidRPr="001B42C8">
        <w:t>Positive Matrix Factorization</w:t>
      </w:r>
      <w:r w:rsidR="00152AA5">
        <w:t xml:space="preserve"> (PMF)</w:t>
      </w:r>
      <w:r w:rsidRPr="001B42C8">
        <w:t xml:space="preserve"> Analysis</w:t>
      </w:r>
      <w:r>
        <w:t xml:space="preserve"> of the Spokane County data.</w:t>
      </w:r>
      <w:r w:rsidR="004745D1">
        <w:t xml:space="preserve"> </w:t>
      </w:r>
      <w:r w:rsidRPr="00DB1DC8">
        <w:t>Some highlights from the presentation:</w:t>
      </w:r>
    </w:p>
    <w:p w14:paraId="1C4ED218" w14:textId="77777777" w:rsidR="004745D1" w:rsidRDefault="00152AA5" w:rsidP="00B601FD">
      <w:pPr>
        <w:pStyle w:val="ListParagraph"/>
        <w:numPr>
          <w:ilvl w:val="0"/>
          <w:numId w:val="23"/>
        </w:numPr>
        <w:spacing w:after="0" w:line="240" w:lineRule="auto"/>
      </w:pPr>
      <w:r>
        <w:t>PMF is a robust multivariate statistical method for determining relationships</w:t>
      </w:r>
      <w:r w:rsidR="00CF500E">
        <w:t xml:space="preserve"> and variability</w:t>
      </w:r>
      <w:r>
        <w:t xml:space="preserve"> among </w:t>
      </w:r>
      <w:r w:rsidR="00DB626F">
        <w:t>inhomogeneous</w:t>
      </w:r>
      <w:r w:rsidR="00CF500E">
        <w:t xml:space="preserve"> l</w:t>
      </w:r>
      <w:r w:rsidR="004745D1">
        <w:t>arge complex environmental data</w:t>
      </w:r>
      <w:r w:rsidR="00CF500E">
        <w:t>sets.</w:t>
      </w:r>
      <w:r w:rsidR="00EB190C">
        <w:t xml:space="preserve"> </w:t>
      </w:r>
      <w:r w:rsidR="00EB190C" w:rsidRPr="00EB190C">
        <w:t>PMF helps us look at the “Big Data Set” of PCB congeners in a system</w:t>
      </w:r>
      <w:r w:rsidR="004745D1">
        <w:t xml:space="preserve"> to </w:t>
      </w:r>
      <w:r w:rsidR="00EB190C" w:rsidRPr="00EB190C">
        <w:t>figure out the number of sources and th</w:t>
      </w:r>
      <w:r w:rsidR="00EB190C">
        <w:t>e congener fingerprints</w:t>
      </w:r>
      <w:r w:rsidR="00943F1C">
        <w:t>.</w:t>
      </w:r>
    </w:p>
    <w:p w14:paraId="7FC9D54E" w14:textId="16DE9287" w:rsidR="00152AA5" w:rsidRDefault="00943F1C" w:rsidP="00B601FD">
      <w:pPr>
        <w:pStyle w:val="ListParagraph"/>
        <w:numPr>
          <w:ilvl w:val="0"/>
          <w:numId w:val="23"/>
        </w:numPr>
        <w:spacing w:after="0" w:line="240" w:lineRule="auto"/>
      </w:pPr>
      <w:r w:rsidRPr="00943F1C">
        <w:t>The more data the better</w:t>
      </w:r>
      <w:r>
        <w:t xml:space="preserve"> the analysis</w:t>
      </w:r>
      <w:r w:rsidRPr="00943F1C">
        <w:t>.</w:t>
      </w:r>
    </w:p>
    <w:p w14:paraId="7D091821" w14:textId="6C22EAE0" w:rsidR="00EB190C" w:rsidRPr="0074079E" w:rsidRDefault="00314AA6" w:rsidP="00B601FD">
      <w:pPr>
        <w:pStyle w:val="ListParagraph"/>
        <w:numPr>
          <w:ilvl w:val="0"/>
          <w:numId w:val="23"/>
        </w:numPr>
        <w:spacing w:after="0" w:line="240" w:lineRule="auto"/>
      </w:pPr>
      <w:r w:rsidRPr="0074079E">
        <w:t xml:space="preserve">The data in the Spokane County system is similar to what is seen in other urban systems in the </w:t>
      </w:r>
      <w:r w:rsidR="00B878AD" w:rsidRPr="0074079E">
        <w:t>Eastern US</w:t>
      </w:r>
      <w:r w:rsidR="00EB190C" w:rsidRPr="0074079E">
        <w:t xml:space="preserve"> (Delaware River, N</w:t>
      </w:r>
      <w:r w:rsidR="004745D1">
        <w:t xml:space="preserve">ew </w:t>
      </w:r>
      <w:r w:rsidR="00EB190C" w:rsidRPr="0074079E">
        <w:t>Y</w:t>
      </w:r>
      <w:r w:rsidR="004745D1">
        <w:t xml:space="preserve">ork </w:t>
      </w:r>
      <w:r w:rsidR="00EB190C" w:rsidRPr="0074079E">
        <w:t>C</w:t>
      </w:r>
      <w:r w:rsidR="004745D1">
        <w:t>ity</w:t>
      </w:r>
      <w:r w:rsidR="00EB190C" w:rsidRPr="0074079E">
        <w:t xml:space="preserve"> area</w:t>
      </w:r>
      <w:r w:rsidR="004745D1">
        <w:t>,</w:t>
      </w:r>
      <w:r w:rsidR="00EB190C" w:rsidRPr="0074079E">
        <w:t xml:space="preserve"> etc</w:t>
      </w:r>
      <w:r w:rsidR="004745D1">
        <w:t>.</w:t>
      </w:r>
      <w:r w:rsidR="00EB190C" w:rsidRPr="0074079E">
        <w:t>)</w:t>
      </w:r>
      <w:r w:rsidRPr="0074079E">
        <w:t xml:space="preserve">. </w:t>
      </w:r>
    </w:p>
    <w:p w14:paraId="60EFA17F" w14:textId="7E2F36FD" w:rsidR="00EB190C" w:rsidRPr="0074079E" w:rsidRDefault="00314AA6" w:rsidP="00B601FD">
      <w:pPr>
        <w:pStyle w:val="ListParagraph"/>
        <w:numPr>
          <w:ilvl w:val="0"/>
          <w:numId w:val="23"/>
        </w:numPr>
        <w:spacing w:after="0" w:line="240" w:lineRule="auto"/>
      </w:pPr>
      <w:r w:rsidRPr="0074079E">
        <w:t>Blank corrections not as important in influent samples since concentrations are higher (10,000s pg/L</w:t>
      </w:r>
      <w:r w:rsidR="00D12EEC">
        <w:t xml:space="preserve">, </w:t>
      </w:r>
      <w:r w:rsidRPr="0074079E">
        <w:t xml:space="preserve">vs. effluent </w:t>
      </w:r>
      <w:r w:rsidR="00152FCF">
        <w:t xml:space="preserve">samples </w:t>
      </w:r>
      <w:r w:rsidR="00D12EEC">
        <w:t xml:space="preserve">at </w:t>
      </w:r>
      <w:r w:rsidRPr="0074079E">
        <w:t>100s pg/L). Regardless</w:t>
      </w:r>
      <w:r w:rsidR="00EB190C" w:rsidRPr="0074079E">
        <w:t>,</w:t>
      </w:r>
      <w:r w:rsidRPr="0074079E">
        <w:t xml:space="preserve"> blank corrections don’t seem to make a difference</w:t>
      </w:r>
      <w:r w:rsidR="00D12EEC">
        <w:t xml:space="preserve"> in</w:t>
      </w:r>
      <w:r w:rsidRPr="0074079E">
        <w:t xml:space="preserve"> the PMF method. </w:t>
      </w:r>
    </w:p>
    <w:p w14:paraId="64137A8C" w14:textId="7A98807A" w:rsidR="0074079E" w:rsidRPr="0074079E" w:rsidRDefault="004852AB" w:rsidP="00B601FD">
      <w:pPr>
        <w:pStyle w:val="ListParagraph"/>
        <w:numPr>
          <w:ilvl w:val="0"/>
          <w:numId w:val="23"/>
        </w:numPr>
        <w:spacing w:after="0" w:line="240" w:lineRule="auto"/>
      </w:pPr>
      <w:r w:rsidRPr="0074079E">
        <w:t>Correlatio</w:t>
      </w:r>
      <w:r w:rsidR="002810BF">
        <w:t>n Matrix:</w:t>
      </w:r>
      <w:r w:rsidR="00EB190C" w:rsidRPr="0074079E">
        <w:t xml:space="preserve"> </w:t>
      </w:r>
      <w:r w:rsidR="002810BF">
        <w:t>m</w:t>
      </w:r>
      <w:r w:rsidR="00EB190C" w:rsidRPr="0074079E">
        <w:t xml:space="preserve">olecular weight increases with PCB </w:t>
      </w:r>
      <w:r w:rsidR="001D5DCC">
        <w:t xml:space="preserve">Aroclor </w:t>
      </w:r>
      <w:r w:rsidR="00EB190C" w:rsidRPr="0074079E">
        <w:t>number</w:t>
      </w:r>
      <w:r w:rsidR="00B601FD">
        <w:t xml:space="preserve">. </w:t>
      </w:r>
      <w:r w:rsidR="00EB190C" w:rsidRPr="0074079E">
        <w:t>The higher the number the more chlorine</w:t>
      </w:r>
      <w:r w:rsidRPr="0074079E">
        <w:t>.</w:t>
      </w:r>
      <w:r w:rsidR="00EB190C" w:rsidRPr="0074079E">
        <w:t xml:space="preserve"> </w:t>
      </w:r>
      <w:r w:rsidRPr="0074079E">
        <w:t>Correlations among various congeners reveal several trends.</w:t>
      </w:r>
    </w:p>
    <w:p w14:paraId="5A513EE6" w14:textId="5127732D" w:rsidR="0074079E" w:rsidRPr="0074079E" w:rsidRDefault="00EB190C" w:rsidP="00B601FD">
      <w:pPr>
        <w:pStyle w:val="ListParagraph"/>
        <w:numPr>
          <w:ilvl w:val="0"/>
          <w:numId w:val="23"/>
        </w:numPr>
        <w:spacing w:after="0" w:line="240" w:lineRule="auto"/>
      </w:pPr>
      <w:r w:rsidRPr="0074079E">
        <w:t>PCB 11 (3,3’</w:t>
      </w:r>
      <w:r w:rsidR="001D5DCC">
        <w:t>-dichlorobiphenyl</w:t>
      </w:r>
      <w:r w:rsidRPr="0074079E">
        <w:t xml:space="preserve">) is associated with pigments but also found with </w:t>
      </w:r>
      <w:r w:rsidR="001D5DCC">
        <w:t xml:space="preserve">PCB congeners </w:t>
      </w:r>
      <w:r w:rsidRPr="0074079E">
        <w:t>77, 123, 155, 184, and 209</w:t>
      </w:r>
      <w:r w:rsidR="00B601FD">
        <w:t xml:space="preserve">. </w:t>
      </w:r>
      <w:r w:rsidRPr="0074079E">
        <w:t xml:space="preserve">None of these are in the top percentages in influent. </w:t>
      </w:r>
      <w:r w:rsidR="004852AB" w:rsidRPr="0074079E">
        <w:t>PCB 11</w:t>
      </w:r>
      <w:r w:rsidR="00C71755" w:rsidRPr="0074079E">
        <w:t xml:space="preserve"> </w:t>
      </w:r>
      <w:r w:rsidR="004852AB" w:rsidRPr="0074079E">
        <w:t>is</w:t>
      </w:r>
      <w:r w:rsidR="001D5DCC">
        <w:t xml:space="preserve"> the</w:t>
      </w:r>
      <w:r w:rsidR="004852AB" w:rsidRPr="0074079E">
        <w:t xml:space="preserve"> most abundant congener in effluent</w:t>
      </w:r>
      <w:r w:rsidR="002810BF">
        <w:t>,</w:t>
      </w:r>
      <w:r w:rsidR="001D5DCC">
        <w:t xml:space="preserve"> </w:t>
      </w:r>
      <w:r w:rsidR="002810BF">
        <w:t xml:space="preserve">but </w:t>
      </w:r>
      <w:r w:rsidR="001D5DCC">
        <w:t>not influent</w:t>
      </w:r>
      <w:r w:rsidR="004852AB" w:rsidRPr="0074079E">
        <w:t>.</w:t>
      </w:r>
      <w:r w:rsidR="004B27DE">
        <w:t xml:space="preserve"> </w:t>
      </w:r>
      <w:r w:rsidR="001D5DCC">
        <w:t xml:space="preserve">The significance of this is that the heavier PCBs are being removed in the solids whereas PCB 11 is more soluble in water and is not as well removed. </w:t>
      </w:r>
      <w:r w:rsidR="004B27DE">
        <w:t xml:space="preserve">Spokane County has more PCB 11 than other urban systems that Dr. </w:t>
      </w:r>
      <w:r w:rsidR="00481789">
        <w:t>Rodenburg</w:t>
      </w:r>
      <w:r w:rsidR="004B27DE">
        <w:t xml:space="preserve"> has investigated</w:t>
      </w:r>
      <w:r w:rsidR="00B601FD">
        <w:t xml:space="preserve">. </w:t>
      </w:r>
      <w:r w:rsidR="004852AB" w:rsidRPr="0074079E">
        <w:t>PCB 11 is strongly correlated to PCBs 35 and 77</w:t>
      </w:r>
      <w:r w:rsidR="002810BF">
        <w:t>.</w:t>
      </w:r>
    </w:p>
    <w:p w14:paraId="79E6E8EC" w14:textId="77777777" w:rsidR="0074079E" w:rsidRPr="0074079E" w:rsidRDefault="00003820" w:rsidP="00B601FD">
      <w:pPr>
        <w:pStyle w:val="ListParagraph"/>
        <w:numPr>
          <w:ilvl w:val="0"/>
          <w:numId w:val="23"/>
        </w:numPr>
        <w:spacing w:after="0" w:line="240" w:lineRule="auto"/>
      </w:pPr>
      <w:r w:rsidRPr="0074079E">
        <w:t>PCB 77 is dioxin-like and accounts for 1-25% of total TEQ in these samples.</w:t>
      </w:r>
    </w:p>
    <w:p w14:paraId="2A82B11A" w14:textId="3F510D69" w:rsidR="0074079E" w:rsidRPr="0074079E" w:rsidRDefault="00C71755" w:rsidP="00B601FD">
      <w:pPr>
        <w:pStyle w:val="ListParagraph"/>
        <w:numPr>
          <w:ilvl w:val="0"/>
          <w:numId w:val="23"/>
        </w:numPr>
        <w:spacing w:after="0" w:line="240" w:lineRule="auto"/>
      </w:pPr>
      <w:r w:rsidRPr="0074079E">
        <w:t xml:space="preserve">Reducing legacy PCB sources will not fix </w:t>
      </w:r>
      <w:r w:rsidR="001D5DCC">
        <w:t>PCB 11</w:t>
      </w:r>
      <w:r w:rsidRPr="0074079E">
        <w:t xml:space="preserve">. The only way to get rid of PCB 11 is to </w:t>
      </w:r>
      <w:r w:rsidR="002810BF">
        <w:t xml:space="preserve">eliminate </w:t>
      </w:r>
      <w:r w:rsidRPr="0074079E">
        <w:t xml:space="preserve">the </w:t>
      </w:r>
      <w:r w:rsidR="001D5DCC">
        <w:t>source, which is most likely pigments (</w:t>
      </w:r>
      <w:r w:rsidRPr="0074079E">
        <w:t>ink</w:t>
      </w:r>
      <w:r w:rsidR="001D5DCC">
        <w:t xml:space="preserve"> or dyes)</w:t>
      </w:r>
      <w:r w:rsidRPr="0074079E">
        <w:t xml:space="preserve">. </w:t>
      </w:r>
    </w:p>
    <w:p w14:paraId="72D10696" w14:textId="1AD73216" w:rsidR="0074079E" w:rsidRPr="0074079E" w:rsidRDefault="002810BF" w:rsidP="00B601FD">
      <w:pPr>
        <w:pStyle w:val="ListParagraph"/>
        <w:numPr>
          <w:ilvl w:val="0"/>
          <w:numId w:val="23"/>
        </w:numPr>
        <w:spacing w:after="0" w:line="240" w:lineRule="auto"/>
      </w:pPr>
      <w:r>
        <w:t xml:space="preserve">The </w:t>
      </w:r>
      <w:r w:rsidR="00EB190C" w:rsidRPr="0074079E">
        <w:t>County is doing</w:t>
      </w:r>
      <w:r w:rsidR="00C71755" w:rsidRPr="0074079E">
        <w:t xml:space="preserve"> a good job at removi</w:t>
      </w:r>
      <w:r w:rsidR="00EB190C" w:rsidRPr="0074079E">
        <w:t>ng high atomic weight congeners</w:t>
      </w:r>
      <w:r w:rsidR="001D5DCC">
        <w:t xml:space="preserve"> in the biosolids</w:t>
      </w:r>
      <w:r w:rsidR="00EB190C" w:rsidRPr="0074079E">
        <w:t>. PCB</w:t>
      </w:r>
      <w:r w:rsidR="00C71755" w:rsidRPr="0074079E">
        <w:t xml:space="preserve"> 11 is m</w:t>
      </w:r>
      <w:r w:rsidR="0074079E">
        <w:t>ore difficult to remove because</w:t>
      </w:r>
      <w:r w:rsidR="00C71755" w:rsidRPr="0074079E">
        <w:t xml:space="preserve"> it has only two chlorines so it does not stick to the solids as well. </w:t>
      </w:r>
    </w:p>
    <w:p w14:paraId="57F6A805" w14:textId="1201A2C0" w:rsidR="00C71755" w:rsidRPr="0074079E" w:rsidRDefault="0005352D" w:rsidP="00B601FD">
      <w:pPr>
        <w:pStyle w:val="ListParagraph"/>
        <w:numPr>
          <w:ilvl w:val="0"/>
          <w:numId w:val="23"/>
        </w:numPr>
        <w:spacing w:after="0" w:line="240" w:lineRule="auto"/>
      </w:pPr>
      <w:r>
        <w:t>Ar</w:t>
      </w:r>
      <w:r w:rsidR="0074079E">
        <w:t xml:space="preserve">oclors (legacy sources) </w:t>
      </w:r>
      <w:r w:rsidR="00C71755" w:rsidRPr="0074079E">
        <w:t xml:space="preserve">have </w:t>
      </w:r>
      <w:r>
        <w:t>widely used before being banned in 1977,</w:t>
      </w:r>
      <w:r w:rsidR="00C71755" w:rsidRPr="0074079E">
        <w:t xml:space="preserve"> however they are persistent</w:t>
      </w:r>
      <w:r>
        <w:t xml:space="preserve"> in the environment</w:t>
      </w:r>
      <w:r w:rsidR="00C71755" w:rsidRPr="0074079E">
        <w:t xml:space="preserve">. Equipment containing Aroclors are still in use (1016, 1221, 1232, 1242, 1248, 1254, 1260, 1262, </w:t>
      </w:r>
      <w:r w:rsidR="00481789" w:rsidRPr="0074079E">
        <w:t>and 1268</w:t>
      </w:r>
      <w:r w:rsidR="00C71755" w:rsidRPr="0074079E">
        <w:t>)</w:t>
      </w:r>
      <w:r w:rsidR="0002778E">
        <w:t>. Aroclors are combination</w:t>
      </w:r>
      <w:r w:rsidR="001D5DCC">
        <w:t>s</w:t>
      </w:r>
      <w:r w:rsidR="0002778E">
        <w:t xml:space="preserve"> of PCB congeners</w:t>
      </w:r>
      <w:r w:rsidR="001D5DCC">
        <w:t xml:space="preserve"> manufactured for industrial use</w:t>
      </w:r>
      <w:r w:rsidR="0002778E">
        <w:t>.</w:t>
      </w:r>
      <w:r w:rsidR="001D5DCC">
        <w:t xml:space="preserve"> Except for Aroclor 1016, the last two numbers in the name refer to the percentage of chlorine in the mixture.</w:t>
      </w:r>
    </w:p>
    <w:p w14:paraId="2C98A7A7" w14:textId="77777777" w:rsidR="00B601FD" w:rsidRDefault="00B601FD" w:rsidP="00B601FD">
      <w:pPr>
        <w:spacing w:after="0" w:line="240" w:lineRule="auto"/>
      </w:pPr>
    </w:p>
    <w:p w14:paraId="7764715B" w14:textId="7E1857D0" w:rsidR="00C71755" w:rsidRDefault="00C71755" w:rsidP="00B601FD">
      <w:pPr>
        <w:spacing w:after="0" w:line="240" w:lineRule="auto"/>
      </w:pPr>
      <w:r>
        <w:t>Factor analysis:</w:t>
      </w:r>
      <w:r w:rsidR="00943F1C">
        <w:t xml:space="preserve"> </w:t>
      </w:r>
      <w:r w:rsidR="001D5DCC">
        <w:t xml:space="preserve">PCB 11 was found in all samples and is not generally associated with Aroclors. </w:t>
      </w:r>
      <w:r w:rsidR="00943F1C" w:rsidRPr="00943F1C">
        <w:t>After removing PCB 11, a data matrix of the top 38 congeners was analyzed. This represents about 60% of the mass of PCBs in the effluent</w:t>
      </w:r>
      <w:r w:rsidR="00B601FD">
        <w:t xml:space="preserve">. </w:t>
      </w:r>
      <w:r w:rsidR="00D12EEC">
        <w:t>Six f</w:t>
      </w:r>
      <w:r w:rsidR="00943F1C" w:rsidRPr="00943F1C">
        <w:t>actors were identified:</w:t>
      </w:r>
    </w:p>
    <w:p w14:paraId="635D9908" w14:textId="77777777" w:rsidR="007A53AF" w:rsidRDefault="007A53AF" w:rsidP="00B601FD">
      <w:pPr>
        <w:pStyle w:val="ListParagraph"/>
        <w:numPr>
          <w:ilvl w:val="0"/>
          <w:numId w:val="26"/>
        </w:numPr>
        <w:spacing w:after="0" w:line="240" w:lineRule="auto"/>
      </w:pPr>
      <w:r>
        <w:t>Factor 1: “weathered” sample of lower congeners possibly atmospheric contribution; in the effluent because it is in the dissolve phased (8.2%)</w:t>
      </w:r>
    </w:p>
    <w:p w14:paraId="18C4B42E" w14:textId="77777777" w:rsidR="007A53AF" w:rsidRDefault="007A53AF" w:rsidP="00B601FD">
      <w:pPr>
        <w:pStyle w:val="ListParagraph"/>
        <w:numPr>
          <w:ilvl w:val="0"/>
          <w:numId w:val="26"/>
        </w:numPr>
        <w:spacing w:after="0" w:line="240" w:lineRule="auto"/>
      </w:pPr>
      <w:r>
        <w:t>Factor 2: Aroclor 1254 ??%</w:t>
      </w:r>
    </w:p>
    <w:p w14:paraId="4D410E3E" w14:textId="77777777" w:rsidR="007A53AF" w:rsidRDefault="007A53AF" w:rsidP="00B601FD">
      <w:pPr>
        <w:pStyle w:val="ListParagraph"/>
        <w:numPr>
          <w:ilvl w:val="0"/>
          <w:numId w:val="26"/>
        </w:numPr>
        <w:spacing w:after="0" w:line="240" w:lineRule="auto"/>
      </w:pPr>
      <w:r>
        <w:t>Factor 3: weathered (25%)</w:t>
      </w:r>
    </w:p>
    <w:p w14:paraId="53CC4FF1" w14:textId="77777777" w:rsidR="007A53AF" w:rsidRDefault="007A53AF" w:rsidP="00B601FD">
      <w:pPr>
        <w:pStyle w:val="ListParagraph"/>
        <w:numPr>
          <w:ilvl w:val="0"/>
          <w:numId w:val="26"/>
        </w:numPr>
        <w:spacing w:after="0" w:line="240" w:lineRule="auto"/>
      </w:pPr>
      <w:r>
        <w:t>Factor 4: weathered (13%)</w:t>
      </w:r>
    </w:p>
    <w:p w14:paraId="6023AE36" w14:textId="77777777" w:rsidR="007A53AF" w:rsidRDefault="007A53AF" w:rsidP="00B601FD">
      <w:pPr>
        <w:pStyle w:val="ListParagraph"/>
        <w:numPr>
          <w:ilvl w:val="0"/>
          <w:numId w:val="26"/>
        </w:numPr>
        <w:spacing w:after="0" w:line="240" w:lineRule="auto"/>
      </w:pPr>
      <w:r>
        <w:t>Factor 5: weathered (10%)</w:t>
      </w:r>
    </w:p>
    <w:p w14:paraId="53DF2967" w14:textId="77777777" w:rsidR="007A53AF" w:rsidRDefault="007A53AF" w:rsidP="00B601FD">
      <w:pPr>
        <w:pStyle w:val="ListParagraph"/>
        <w:numPr>
          <w:ilvl w:val="0"/>
          <w:numId w:val="26"/>
        </w:numPr>
        <w:spacing w:after="0" w:line="240" w:lineRule="auto"/>
      </w:pPr>
      <w:r>
        <w:t>Factor 6</w:t>
      </w:r>
      <w:r w:rsidR="009C1C52">
        <w:t>:</w:t>
      </w:r>
      <w:r>
        <w:t xml:space="preserve"> 1254 + 1260 (41%)</w:t>
      </w:r>
    </w:p>
    <w:p w14:paraId="334441D0" w14:textId="77777777" w:rsidR="00E52118" w:rsidRDefault="00E52118" w:rsidP="00B601FD">
      <w:pPr>
        <w:pStyle w:val="ListParagraph"/>
        <w:numPr>
          <w:ilvl w:val="0"/>
          <w:numId w:val="27"/>
        </w:numPr>
        <w:spacing w:after="0" w:line="240" w:lineRule="auto"/>
        <w:ind w:left="720"/>
      </w:pPr>
      <w:r>
        <w:t>As more data is available more congeners can be included</w:t>
      </w:r>
      <w:r w:rsidR="0002778E">
        <w:t xml:space="preserve"> in the analysis</w:t>
      </w:r>
      <w:r>
        <w:t xml:space="preserve">. </w:t>
      </w:r>
    </w:p>
    <w:p w14:paraId="5C9DA9E5" w14:textId="4D24933A" w:rsidR="00CF0A85" w:rsidRDefault="00481789" w:rsidP="00B601FD">
      <w:pPr>
        <w:pStyle w:val="ListParagraph"/>
        <w:numPr>
          <w:ilvl w:val="0"/>
          <w:numId w:val="27"/>
        </w:numPr>
        <w:spacing w:after="0" w:line="240" w:lineRule="auto"/>
        <w:ind w:left="720"/>
      </w:pPr>
      <w:r>
        <w:t xml:space="preserve">Results seem typical of urban wastewater (Aroclors </w:t>
      </w:r>
      <w:r w:rsidR="00D12EEC">
        <w:t xml:space="preserve">comprise </w:t>
      </w:r>
      <w:r>
        <w:t>ab</w:t>
      </w:r>
      <w:r w:rsidR="00D12EEC">
        <w:t>out 75% of PCBs in this system);</w:t>
      </w:r>
      <w:r>
        <w:t xml:space="preserve"> </w:t>
      </w:r>
      <w:r w:rsidR="009C1C52">
        <w:t xml:space="preserve">there is </w:t>
      </w:r>
      <w:r>
        <w:t>no evi</w:t>
      </w:r>
      <w:r w:rsidR="00D12EEC">
        <w:t xml:space="preserve">dence of microbial degradation, which is </w:t>
      </w:r>
      <w:r w:rsidR="009C1C52">
        <w:t xml:space="preserve">usually seen as </w:t>
      </w:r>
      <w:r w:rsidR="00D12EEC">
        <w:t>dechlorination</w:t>
      </w:r>
      <w:r>
        <w:t>)</w:t>
      </w:r>
    </w:p>
    <w:p w14:paraId="278B8E29" w14:textId="77777777" w:rsidR="00B601FD" w:rsidRDefault="00B601FD" w:rsidP="00B601FD">
      <w:pPr>
        <w:spacing w:after="0" w:line="240" w:lineRule="auto"/>
      </w:pPr>
    </w:p>
    <w:p w14:paraId="2FD977D0" w14:textId="5893A0D5" w:rsidR="00CF0A85" w:rsidRDefault="0002778E" w:rsidP="00B601FD">
      <w:pPr>
        <w:spacing w:after="0" w:line="240" w:lineRule="auto"/>
      </w:pPr>
      <w:r>
        <w:t xml:space="preserve">Question: What </w:t>
      </w:r>
      <w:r w:rsidR="00D12EEC">
        <w:t xml:space="preserve">was </w:t>
      </w:r>
      <w:r>
        <w:t>the</w:t>
      </w:r>
      <w:r w:rsidR="00D12EEC">
        <w:t xml:space="preserve"> historical use of Aroclor 1254?</w:t>
      </w:r>
      <w:r>
        <w:t xml:space="preserve"> Answer: Aroclor 1254 had a b</w:t>
      </w:r>
      <w:r w:rsidR="00CF0A85">
        <w:t xml:space="preserve">road range of applications. </w:t>
      </w:r>
      <w:r>
        <w:t>Aroclor 1268 had</w:t>
      </w:r>
      <w:r w:rsidR="00CF0A85">
        <w:t xml:space="preserve"> a bit narrower range of uses. </w:t>
      </w:r>
    </w:p>
    <w:p w14:paraId="44D633E3" w14:textId="77777777" w:rsidR="00B601FD" w:rsidRDefault="00B601FD" w:rsidP="00B601FD">
      <w:pPr>
        <w:spacing w:after="0" w:line="240" w:lineRule="auto"/>
      </w:pPr>
    </w:p>
    <w:p w14:paraId="689176AF" w14:textId="77777777" w:rsidR="0002778E" w:rsidRDefault="0002778E" w:rsidP="00B601FD">
      <w:pPr>
        <w:spacing w:after="0" w:line="240" w:lineRule="auto"/>
      </w:pPr>
      <w:r>
        <w:lastRenderedPageBreak/>
        <w:t xml:space="preserve">Question: </w:t>
      </w:r>
      <w:r w:rsidR="000D02C9">
        <w:t xml:space="preserve">What do you mean by weathered? </w:t>
      </w:r>
      <w:r>
        <w:t xml:space="preserve">Answer: </w:t>
      </w:r>
      <w:r w:rsidR="00963196">
        <w:t>This is a</w:t>
      </w:r>
      <w:r w:rsidRPr="0002778E">
        <w:t xml:space="preserve"> general</w:t>
      </w:r>
      <w:r w:rsidR="00963196">
        <w:t>ized</w:t>
      </w:r>
      <w:r w:rsidRPr="0002778E">
        <w:t xml:space="preserve"> term</w:t>
      </w:r>
      <w:r w:rsidR="00963196">
        <w:t xml:space="preserve"> to describe compounds sampled</w:t>
      </w:r>
      <w:r w:rsidRPr="0002778E">
        <w:t xml:space="preserve"> that </w:t>
      </w:r>
      <w:r w:rsidR="00963196">
        <w:t xml:space="preserve">appear to be derived from </w:t>
      </w:r>
      <w:r w:rsidR="00362B21">
        <w:t>A</w:t>
      </w:r>
      <w:r w:rsidRPr="0002778E">
        <w:t xml:space="preserve">roclors but could have changed due to </w:t>
      </w:r>
      <w:r w:rsidR="00963196">
        <w:t>exposure to air or biodegradation</w:t>
      </w:r>
      <w:r w:rsidR="00B601FD">
        <w:t xml:space="preserve">. </w:t>
      </w:r>
      <w:r w:rsidR="00963196">
        <w:t>This process can also inadvertently generate</w:t>
      </w:r>
      <w:r w:rsidRPr="0002778E">
        <w:t xml:space="preserve"> PCBs</w:t>
      </w:r>
      <w:r w:rsidR="00963196">
        <w:t xml:space="preserve"> that have not been identified.</w:t>
      </w:r>
      <w:r>
        <w:t xml:space="preserve"> (Definition from the Draft PCB Chemical Action Plan, Washington Department of Ecology 2014). </w:t>
      </w:r>
    </w:p>
    <w:p w14:paraId="2F831501" w14:textId="77777777" w:rsidR="00B601FD" w:rsidRDefault="00B601FD" w:rsidP="00B601FD">
      <w:pPr>
        <w:spacing w:after="0" w:line="240" w:lineRule="auto"/>
      </w:pPr>
    </w:p>
    <w:p w14:paraId="52C9A3C0" w14:textId="77777777" w:rsidR="00963196" w:rsidRPr="0002778E" w:rsidRDefault="00963196" w:rsidP="00B601FD">
      <w:pPr>
        <w:spacing w:after="0" w:line="240" w:lineRule="auto"/>
      </w:pPr>
      <w:r>
        <w:t>Question: Does weathered correlate to less toxic? Answer: This was not calculated but can be in the future</w:t>
      </w:r>
      <w:r w:rsidR="00B601FD">
        <w:t xml:space="preserve">. </w:t>
      </w:r>
      <w:r>
        <w:t>Factor 4 may not be very toxic.</w:t>
      </w:r>
    </w:p>
    <w:p w14:paraId="1C9BD52B" w14:textId="77777777" w:rsidR="00B601FD" w:rsidRDefault="00B601FD" w:rsidP="00B601FD">
      <w:pPr>
        <w:spacing w:after="0" w:line="240" w:lineRule="auto"/>
      </w:pPr>
    </w:p>
    <w:p w14:paraId="214D92FD" w14:textId="0B163C35" w:rsidR="009B5A49" w:rsidRDefault="00963196" w:rsidP="00B601FD">
      <w:pPr>
        <w:spacing w:after="0" w:line="240" w:lineRule="auto"/>
      </w:pPr>
      <w:r>
        <w:t>Question: What</w:t>
      </w:r>
      <w:r w:rsidR="009B5A49">
        <w:t xml:space="preserve"> is your opinion</w:t>
      </w:r>
      <w:r w:rsidR="00481789">
        <w:t xml:space="preserve"> (Dr. Rod</w:t>
      </w:r>
      <w:r>
        <w:t>enburg)</w:t>
      </w:r>
      <w:r w:rsidR="009B5A49">
        <w:t xml:space="preserve"> on the likelihood of future data </w:t>
      </w:r>
      <w:r w:rsidR="00D12EEC">
        <w:t>changing</w:t>
      </w:r>
      <w:r w:rsidR="009B5A49">
        <w:t xml:space="preserve"> </w:t>
      </w:r>
      <w:r>
        <w:t>the results</w:t>
      </w:r>
      <w:r w:rsidR="00D12EEC">
        <w:t>?</w:t>
      </w:r>
      <w:r>
        <w:t xml:space="preserve"> Answer: We w</w:t>
      </w:r>
      <w:r w:rsidR="009B5A49">
        <w:t>ould like to have enough data to separate the influent from the effluent</w:t>
      </w:r>
      <w:r w:rsidR="00B601FD">
        <w:t xml:space="preserve">. </w:t>
      </w:r>
      <w:r w:rsidR="00481789">
        <w:t>This</w:t>
      </w:r>
      <w:r>
        <w:t xml:space="preserve"> will not be possible at this point because the </w:t>
      </w:r>
      <w:r w:rsidR="009B5A49">
        <w:t xml:space="preserve">effluent is only sampled quarterly. </w:t>
      </w:r>
      <w:r w:rsidR="00B525ED">
        <w:t xml:space="preserve">Factor 2 (A. 1254) </w:t>
      </w:r>
      <w:r>
        <w:t xml:space="preserve">will not </w:t>
      </w:r>
      <w:r w:rsidR="00B525ED">
        <w:t>change with more data, probably had a transformer leak or</w:t>
      </w:r>
      <w:r w:rsidR="00440202">
        <w:t xml:space="preserve"> some big dump of 1254 at a one-</w:t>
      </w:r>
      <w:r w:rsidR="00D12EEC">
        <w:t>time event.</w:t>
      </w:r>
    </w:p>
    <w:p w14:paraId="380CA883" w14:textId="77777777" w:rsidR="00B601FD" w:rsidRDefault="00B601FD" w:rsidP="00B601FD">
      <w:pPr>
        <w:spacing w:after="0" w:line="240" w:lineRule="auto"/>
      </w:pPr>
    </w:p>
    <w:p w14:paraId="58A970B2" w14:textId="6F108688" w:rsidR="00B525ED" w:rsidRDefault="00963196" w:rsidP="00B601FD">
      <w:pPr>
        <w:spacing w:after="0" w:line="240" w:lineRule="auto"/>
      </w:pPr>
      <w:r>
        <w:t>Question: W</w:t>
      </w:r>
      <w:r w:rsidR="00B525ED">
        <w:t>as there any specific event that could account for th</w:t>
      </w:r>
      <w:r>
        <w:t>e</w:t>
      </w:r>
      <w:r w:rsidR="00B525ED">
        <w:t xml:space="preserve"> spike at the N</w:t>
      </w:r>
      <w:r w:rsidR="00362B21">
        <w:t xml:space="preserve">orth </w:t>
      </w:r>
      <w:r>
        <w:t>V</w:t>
      </w:r>
      <w:r w:rsidR="00362B21">
        <w:t>alley</w:t>
      </w:r>
      <w:r>
        <w:t xml:space="preserve"> sampling location?  Answer: Not that we can find and there is </w:t>
      </w:r>
      <w:r w:rsidR="00B525ED">
        <w:t>no stormwater influence.</w:t>
      </w:r>
      <w:r>
        <w:t xml:space="preserve"> It is possible that it came from a roof drain or other illegal connection.</w:t>
      </w:r>
    </w:p>
    <w:p w14:paraId="775544F6" w14:textId="2C02041B" w:rsidR="00B525ED" w:rsidRDefault="00B525ED" w:rsidP="00B601FD">
      <w:pPr>
        <w:pStyle w:val="ListParagraph"/>
        <w:numPr>
          <w:ilvl w:val="0"/>
          <w:numId w:val="28"/>
        </w:numPr>
        <w:spacing w:after="0" w:line="240" w:lineRule="auto"/>
      </w:pPr>
      <w:r>
        <w:t xml:space="preserve">Location trends:  </w:t>
      </w:r>
      <w:r w:rsidR="00113843">
        <w:t>There were no obvious differences</w:t>
      </w:r>
      <w:r>
        <w:t xml:space="preserve"> between sample locations.</w:t>
      </w:r>
      <w:r w:rsidR="00113843">
        <w:t xml:space="preserve"> </w:t>
      </w:r>
      <w:r w:rsidR="00440202">
        <w:t>Need to worry more about Factor 1 (27%), 2 (</w:t>
      </w:r>
      <w:r w:rsidR="00362B21">
        <w:t>A</w:t>
      </w:r>
      <w:r w:rsidR="00440202">
        <w:t>roclor 1254) (46% of effluent) and 5(21%), all</w:t>
      </w:r>
      <w:r w:rsidR="00113843">
        <w:t xml:space="preserve"> of which</w:t>
      </w:r>
      <w:r w:rsidR="00440202">
        <w:t xml:space="preserve"> are experiencing high </w:t>
      </w:r>
      <w:r w:rsidR="00113843">
        <w:t xml:space="preserve">amount of removal (about 99%), </w:t>
      </w:r>
      <w:r w:rsidR="00440202">
        <w:t>Factor 1 has lowest molecular weight</w:t>
      </w:r>
      <w:r w:rsidR="00D12EEC">
        <w:t>,</w:t>
      </w:r>
      <w:r w:rsidR="00113843">
        <w:t xml:space="preserve"> which is harder to remove</w:t>
      </w:r>
      <w:r w:rsidR="00B601FD">
        <w:t xml:space="preserve">. </w:t>
      </w:r>
      <w:r w:rsidR="00113843">
        <w:t xml:space="preserve">This information can be broken </w:t>
      </w:r>
      <w:r w:rsidR="00D12EEC">
        <w:t>out sample-by-</w:t>
      </w:r>
      <w:r w:rsidR="00440202">
        <w:t>sample if needed.</w:t>
      </w:r>
    </w:p>
    <w:p w14:paraId="1D438B94" w14:textId="77777777" w:rsidR="00B601FD" w:rsidRDefault="00B601FD" w:rsidP="00B601FD">
      <w:pPr>
        <w:spacing w:after="0" w:line="240" w:lineRule="auto"/>
      </w:pPr>
    </w:p>
    <w:p w14:paraId="434E6A22" w14:textId="77777777" w:rsidR="004B27DE" w:rsidRDefault="00113843" w:rsidP="00B601FD">
      <w:pPr>
        <w:spacing w:after="0" w:line="240" w:lineRule="auto"/>
      </w:pPr>
      <w:r>
        <w:t>P</w:t>
      </w:r>
      <w:r w:rsidR="00440202">
        <w:t>BDEs: measured 46 congeners, included 24 in data matrix</w:t>
      </w:r>
      <w:r w:rsidR="00B601FD">
        <w:t xml:space="preserve">. </w:t>
      </w:r>
      <w:r w:rsidR="00440202">
        <w:t>Identified 4 factors.</w:t>
      </w:r>
    </w:p>
    <w:p w14:paraId="324A6B20" w14:textId="77777777" w:rsidR="004B27DE" w:rsidRDefault="00440202" w:rsidP="00B601FD">
      <w:pPr>
        <w:pStyle w:val="ListParagraph"/>
        <w:numPr>
          <w:ilvl w:val="0"/>
          <w:numId w:val="29"/>
        </w:numPr>
        <w:spacing w:after="0" w:line="240" w:lineRule="auto"/>
      </w:pPr>
      <w:r>
        <w:t>Factor 1 (</w:t>
      </w:r>
      <w:r w:rsidR="004B27DE">
        <w:t>.5% of total, Effluent</w:t>
      </w:r>
      <w:r w:rsidR="00B601FD">
        <w:t xml:space="preserve">. </w:t>
      </w:r>
      <w:r w:rsidR="004B27DE">
        <w:t xml:space="preserve">Dominant in effluent and shows evidence of </w:t>
      </w:r>
      <w:r>
        <w:t>debromination</w:t>
      </w:r>
      <w:r w:rsidR="004B27DE">
        <w:t>) in the collection system</w:t>
      </w:r>
      <w:r>
        <w:t xml:space="preserve">), </w:t>
      </w:r>
    </w:p>
    <w:p w14:paraId="6BFC7D1E" w14:textId="4431B512" w:rsidR="004B27DE" w:rsidRDefault="00D12EEC" w:rsidP="00B601FD">
      <w:pPr>
        <w:pStyle w:val="ListParagraph"/>
        <w:numPr>
          <w:ilvl w:val="0"/>
          <w:numId w:val="29"/>
        </w:numPr>
        <w:spacing w:after="0" w:line="240" w:lineRule="auto"/>
      </w:pPr>
      <w:r>
        <w:t>F</w:t>
      </w:r>
      <w:r w:rsidR="00440202">
        <w:t>actor 2 (</w:t>
      </w:r>
      <w:r w:rsidR="004B27DE">
        <w:t>43% of total, Penta –bde)</w:t>
      </w:r>
    </w:p>
    <w:p w14:paraId="5058E793" w14:textId="41468354" w:rsidR="004B27DE" w:rsidRDefault="00D12EEC" w:rsidP="00B601FD">
      <w:pPr>
        <w:pStyle w:val="ListParagraph"/>
        <w:numPr>
          <w:ilvl w:val="0"/>
          <w:numId w:val="29"/>
        </w:numPr>
        <w:spacing w:after="0" w:line="240" w:lineRule="auto"/>
      </w:pPr>
      <w:r>
        <w:t>F</w:t>
      </w:r>
      <w:r w:rsidR="00440202">
        <w:t xml:space="preserve">actor 3 ( </w:t>
      </w:r>
      <w:r w:rsidR="004B27DE">
        <w:t>46% of total, background)</w:t>
      </w:r>
    </w:p>
    <w:p w14:paraId="7DB8E005" w14:textId="74CAF546" w:rsidR="00440202" w:rsidRDefault="00D12EEC" w:rsidP="00B601FD">
      <w:pPr>
        <w:pStyle w:val="ListParagraph"/>
        <w:numPr>
          <w:ilvl w:val="0"/>
          <w:numId w:val="29"/>
        </w:numPr>
        <w:spacing w:after="0" w:line="240" w:lineRule="auto"/>
      </w:pPr>
      <w:r>
        <w:t>F</w:t>
      </w:r>
      <w:r w:rsidR="00440202">
        <w:t>actor 4: (</w:t>
      </w:r>
      <w:r w:rsidR="004B27DE">
        <w:t xml:space="preserve"> 10% of total, </w:t>
      </w:r>
      <w:r w:rsidR="00440202">
        <w:t>Deca –bde)</w:t>
      </w:r>
    </w:p>
    <w:p w14:paraId="3877160E" w14:textId="77777777" w:rsidR="004B27DE" w:rsidRDefault="004B27DE" w:rsidP="00B601FD">
      <w:pPr>
        <w:pStyle w:val="ListParagraph"/>
        <w:spacing w:after="0" w:line="240" w:lineRule="auto"/>
        <w:ind w:left="1080"/>
      </w:pPr>
    </w:p>
    <w:p w14:paraId="4B95E2D7" w14:textId="77777777" w:rsidR="00440202" w:rsidRDefault="00440202" w:rsidP="00B601FD">
      <w:pPr>
        <w:pStyle w:val="ListParagraph"/>
        <w:numPr>
          <w:ilvl w:val="0"/>
          <w:numId w:val="30"/>
        </w:numPr>
        <w:spacing w:after="0" w:line="240" w:lineRule="auto"/>
        <w:ind w:left="720"/>
      </w:pPr>
      <w:r>
        <w:t>47, is a typical congener that is found in the Penta formulation and could also represent debrom</w:t>
      </w:r>
      <w:r w:rsidR="004B27DE">
        <w:t>ination. 47 and 99 always found.</w:t>
      </w:r>
    </w:p>
    <w:p w14:paraId="502C1E15" w14:textId="77777777" w:rsidR="00B601FD" w:rsidRDefault="00B601FD" w:rsidP="00B601FD">
      <w:pPr>
        <w:spacing w:after="0" w:line="240" w:lineRule="auto"/>
      </w:pPr>
    </w:p>
    <w:p w14:paraId="478AEC83" w14:textId="5732D814" w:rsidR="003A0277" w:rsidRDefault="00D12EEC" w:rsidP="00B601FD">
      <w:pPr>
        <w:spacing w:after="0" w:line="240" w:lineRule="auto"/>
      </w:pPr>
      <w:r>
        <w:t>Question: C</w:t>
      </w:r>
      <w:r w:rsidR="003A0277">
        <w:t xml:space="preserve">an there be some </w:t>
      </w:r>
      <w:r>
        <w:t xml:space="preserve">microbial degradation </w:t>
      </w:r>
      <w:r w:rsidR="003A0277">
        <w:t xml:space="preserve">in treatment? </w:t>
      </w:r>
      <w:r w:rsidR="004B27DE">
        <w:t xml:space="preserve">Answer: </w:t>
      </w:r>
      <w:r w:rsidR="003A0277">
        <w:t xml:space="preserve">Residence time may not be long enough, both require anaerobic </w:t>
      </w:r>
      <w:r w:rsidR="004B27DE">
        <w:t>digestion;</w:t>
      </w:r>
      <w:r w:rsidR="003A0277">
        <w:t xml:space="preserve"> it is possible that some debromination happens in</w:t>
      </w:r>
      <w:r w:rsidR="004B27DE">
        <w:t xml:space="preserve"> the</w:t>
      </w:r>
      <w:r w:rsidR="003A0277">
        <w:t xml:space="preserve"> digester</w:t>
      </w:r>
      <w:r w:rsidR="00B601FD">
        <w:t xml:space="preserve">. </w:t>
      </w:r>
      <w:r w:rsidR="003A0277">
        <w:t>Somewhere upstream there is some microbial degradation</w:t>
      </w:r>
      <w:r w:rsidR="004B27DE">
        <w:t xml:space="preserve"> occurring</w:t>
      </w:r>
      <w:r w:rsidR="003A0277">
        <w:t xml:space="preserve">. </w:t>
      </w:r>
    </w:p>
    <w:p w14:paraId="37A0321C" w14:textId="77777777" w:rsidR="00B601FD" w:rsidRDefault="00B601FD" w:rsidP="00B601FD">
      <w:pPr>
        <w:spacing w:after="0" w:line="240" w:lineRule="auto"/>
      </w:pPr>
    </w:p>
    <w:p w14:paraId="17AF31D1" w14:textId="76B65913" w:rsidR="00CD4B2B" w:rsidRDefault="008B40C2" w:rsidP="00B601FD">
      <w:pPr>
        <w:spacing w:after="0" w:line="240" w:lineRule="auto"/>
      </w:pPr>
      <w:r>
        <w:t>Question:</w:t>
      </w:r>
      <w:r w:rsidRPr="008B40C2">
        <w:t xml:space="preserve"> W</w:t>
      </w:r>
      <w:r w:rsidR="00CD4B2B" w:rsidRPr="008B40C2">
        <w:t>hat</w:t>
      </w:r>
      <w:r w:rsidR="00CD4B2B">
        <w:t xml:space="preserve"> congeners were found in titanium dioxide? </w:t>
      </w:r>
      <w:r>
        <w:t>Answer: Congeners</w:t>
      </w:r>
      <w:r w:rsidR="00CD4B2B">
        <w:t xml:space="preserve"> 206, 208 and 209 (if made through a chlorination process)</w:t>
      </w:r>
      <w:r w:rsidR="00D12EEC">
        <w:t>;</w:t>
      </w:r>
      <w:r w:rsidR="00CD4B2B">
        <w:t xml:space="preserve"> </w:t>
      </w:r>
      <w:r w:rsidR="00362B21">
        <w:t xml:space="preserve">the </w:t>
      </w:r>
      <w:r w:rsidR="00CD4B2B">
        <w:t xml:space="preserve">other </w:t>
      </w:r>
      <w:r w:rsidR="00362B21">
        <w:t xml:space="preserve">manufacturing </w:t>
      </w:r>
      <w:r w:rsidR="00CD4B2B">
        <w:t xml:space="preserve">process does not produce </w:t>
      </w:r>
      <w:r w:rsidR="00362B21">
        <w:t>PCBs</w:t>
      </w:r>
      <w:r w:rsidR="00CD4B2B">
        <w:t xml:space="preserve">. </w:t>
      </w:r>
    </w:p>
    <w:p w14:paraId="3716EA01" w14:textId="77777777" w:rsidR="00B601FD" w:rsidRDefault="00B601FD" w:rsidP="00B601FD">
      <w:pPr>
        <w:spacing w:after="0" w:line="240" w:lineRule="auto"/>
      </w:pPr>
    </w:p>
    <w:p w14:paraId="051C025B" w14:textId="77777777" w:rsidR="00CD4B2B" w:rsidRDefault="008B40C2" w:rsidP="00B601FD">
      <w:pPr>
        <w:spacing w:after="0" w:line="240" w:lineRule="auto"/>
      </w:pPr>
      <w:r>
        <w:t>ACTION ITEM</w:t>
      </w:r>
      <w:r w:rsidR="008A4233">
        <w:t xml:space="preserve">: </w:t>
      </w:r>
      <w:r>
        <w:t>Mike Milne or Rob Lindsey, Spokane County will s</w:t>
      </w:r>
      <w:r w:rsidR="008A4233">
        <w:t>end copy of the presentation</w:t>
      </w:r>
      <w:r>
        <w:t xml:space="preserve"> on Spokane C</w:t>
      </w:r>
      <w:r w:rsidR="004210F0">
        <w:t>ounty’s 2014 Annual Report and Positive Matrix Factorization Analysis</w:t>
      </w:r>
      <w:r w:rsidR="008A4233">
        <w:t xml:space="preserve"> to Ruckelshaus</w:t>
      </w:r>
      <w:r>
        <w:t xml:space="preserve"> Center. (COMPLETED)</w:t>
      </w:r>
    </w:p>
    <w:p w14:paraId="1E93164E" w14:textId="77777777" w:rsidR="00B601FD" w:rsidRDefault="00B601FD" w:rsidP="00B601FD">
      <w:pPr>
        <w:spacing w:after="0" w:line="240" w:lineRule="auto"/>
      </w:pPr>
    </w:p>
    <w:p w14:paraId="0BCB7F7D" w14:textId="77777777" w:rsidR="008B40C2" w:rsidRDefault="008B40C2" w:rsidP="00B601FD">
      <w:pPr>
        <w:spacing w:after="0" w:line="240" w:lineRule="auto"/>
      </w:pPr>
      <w:r>
        <w:t>ACTION ITEM: Kara Whitman, Ruckelshaus Center, will post the presentation to the SRRTTF website. (COMPLETED)</w:t>
      </w:r>
    </w:p>
    <w:p w14:paraId="5ED6B5E3" w14:textId="77777777" w:rsidR="00B601FD" w:rsidRDefault="00B601FD" w:rsidP="00B601FD">
      <w:pPr>
        <w:spacing w:after="0" w:line="240" w:lineRule="auto"/>
        <w:rPr>
          <w:b/>
          <w:u w:val="single"/>
        </w:rPr>
      </w:pPr>
    </w:p>
    <w:p w14:paraId="6E0CB4F5" w14:textId="77777777" w:rsidR="004210F0" w:rsidRPr="00B601FD" w:rsidRDefault="004210F0" w:rsidP="00D12EEC">
      <w:pPr>
        <w:spacing w:before="120" w:after="60" w:line="240" w:lineRule="auto"/>
        <w:rPr>
          <w:b/>
        </w:rPr>
      </w:pPr>
      <w:r w:rsidRPr="00B601FD">
        <w:rPr>
          <w:b/>
        </w:rPr>
        <w:t>Draft PCB Chemical Action Plan</w:t>
      </w:r>
    </w:p>
    <w:p w14:paraId="7886FFA1" w14:textId="40ACB815" w:rsidR="004210F0" w:rsidRDefault="007B1187" w:rsidP="00B601FD">
      <w:pPr>
        <w:spacing w:after="0" w:line="240" w:lineRule="auto"/>
      </w:pPr>
      <w:r>
        <w:t>Holly Davies</w:t>
      </w:r>
      <w:r w:rsidR="00F3569A">
        <w:t xml:space="preserve"> gave an update on the Draft Chemical Action Plan and invited </w:t>
      </w:r>
      <w:r w:rsidR="00D12EEC">
        <w:t>T</w:t>
      </w:r>
      <w:r w:rsidR="00F3569A">
        <w:t>ask</w:t>
      </w:r>
      <w:r w:rsidR="00D12EEC">
        <w:t xml:space="preserve"> F</w:t>
      </w:r>
      <w:r w:rsidR="00F3569A">
        <w:t>orce members to attend the public meeting held in the evening on September 24</w:t>
      </w:r>
      <w:r w:rsidR="00F3569A" w:rsidRPr="00F3569A">
        <w:rPr>
          <w:vertAlign w:val="superscript"/>
        </w:rPr>
        <w:t>th</w:t>
      </w:r>
      <w:r w:rsidR="00F3569A">
        <w:t>, 2014</w:t>
      </w:r>
      <w:r w:rsidR="00B601FD">
        <w:t xml:space="preserve">. </w:t>
      </w:r>
    </w:p>
    <w:p w14:paraId="6E09C197" w14:textId="77777777" w:rsidR="00B601FD" w:rsidRDefault="00B601FD" w:rsidP="00B601FD">
      <w:pPr>
        <w:spacing w:after="0" w:line="240" w:lineRule="auto"/>
      </w:pPr>
    </w:p>
    <w:p w14:paraId="0754B2AC" w14:textId="77777777" w:rsidR="000401A0" w:rsidRDefault="007B1187" w:rsidP="00B601FD">
      <w:pPr>
        <w:spacing w:after="0" w:line="240" w:lineRule="auto"/>
      </w:pPr>
      <w:r>
        <w:t>Questions:</w:t>
      </w:r>
    </w:p>
    <w:p w14:paraId="57572ADA" w14:textId="372B6ABA" w:rsidR="004478FA" w:rsidRDefault="000401A0" w:rsidP="00B601FD">
      <w:pPr>
        <w:spacing w:after="0" w:line="240" w:lineRule="auto"/>
      </w:pPr>
      <w:r>
        <w:t xml:space="preserve">Comment and Question: </w:t>
      </w:r>
      <w:r w:rsidR="00F13162">
        <w:t xml:space="preserve"> 2 cycle</w:t>
      </w:r>
      <w:r>
        <w:t xml:space="preserve"> motors may be a source of PCBs. Yard equipment is a</w:t>
      </w:r>
      <w:r w:rsidR="00F13162">
        <w:t xml:space="preserve"> major source of CO</w:t>
      </w:r>
      <w:r w:rsidR="00F13162" w:rsidRPr="000401A0">
        <w:rPr>
          <w:vertAlign w:val="subscript"/>
        </w:rPr>
        <w:t>2</w:t>
      </w:r>
      <w:r w:rsidR="00F13162">
        <w:t xml:space="preserve"> </w:t>
      </w:r>
      <w:r>
        <w:t>in Los Angeles</w:t>
      </w:r>
      <w:r w:rsidR="00F13162">
        <w:t>. Is there anyone looking at these as a source</w:t>
      </w:r>
      <w:r w:rsidR="00362B21">
        <w:t xml:space="preserve"> for PCBs</w:t>
      </w:r>
      <w:r w:rsidR="004478FA">
        <w:t>?</w:t>
      </w:r>
      <w:r w:rsidR="00F13162">
        <w:t xml:space="preserve">  </w:t>
      </w:r>
      <w:r w:rsidR="004478FA">
        <w:t xml:space="preserve">Answer: </w:t>
      </w:r>
      <w:r w:rsidR="00D12EEC">
        <w:t>CO</w:t>
      </w:r>
      <w:r w:rsidR="00D12EEC" w:rsidRPr="000401A0">
        <w:rPr>
          <w:vertAlign w:val="subscript"/>
        </w:rPr>
        <w:t>2</w:t>
      </w:r>
      <w:r w:rsidR="00D12EEC">
        <w:rPr>
          <w:vertAlign w:val="subscript"/>
        </w:rPr>
        <w:t xml:space="preserve"> </w:t>
      </w:r>
      <w:r w:rsidR="00D12EEC">
        <w:t>is i</w:t>
      </w:r>
      <w:r w:rsidR="00F13162">
        <w:t>ncluded in air quality monitoring</w:t>
      </w:r>
      <w:r w:rsidR="00D12EEC">
        <w:t>,</w:t>
      </w:r>
      <w:r w:rsidR="00F13162">
        <w:t xml:space="preserve"> but not PCBs</w:t>
      </w:r>
      <w:r w:rsidR="00B601FD">
        <w:t xml:space="preserve">. </w:t>
      </w:r>
      <w:r w:rsidR="00F13162">
        <w:t xml:space="preserve"> </w:t>
      </w:r>
    </w:p>
    <w:p w14:paraId="4613DA24" w14:textId="77777777" w:rsidR="00B601FD" w:rsidRDefault="00B601FD" w:rsidP="00B601FD">
      <w:pPr>
        <w:spacing w:after="0" w:line="240" w:lineRule="auto"/>
      </w:pPr>
    </w:p>
    <w:p w14:paraId="02A474F8" w14:textId="77777777" w:rsidR="00F13162" w:rsidRDefault="004478FA" w:rsidP="00B601FD">
      <w:pPr>
        <w:spacing w:after="0" w:line="240" w:lineRule="auto"/>
      </w:pPr>
      <w:r>
        <w:t>Comment: Need sources of contact for dealing with waste</w:t>
      </w:r>
      <w:r w:rsidR="00B601FD">
        <w:t xml:space="preserve"> oil with PCBs. </w:t>
      </w:r>
      <w:r>
        <w:t xml:space="preserve">People </w:t>
      </w:r>
      <w:r w:rsidR="000401A0">
        <w:t>panic and dump waste</w:t>
      </w:r>
      <w:r>
        <w:t xml:space="preserve"> in Sewer or other rather than pay a lot of money to dispose</w:t>
      </w:r>
      <w:r w:rsidR="000401A0">
        <w:t xml:space="preserve"> of it</w:t>
      </w:r>
      <w:r w:rsidR="00B601FD">
        <w:t>.</w:t>
      </w:r>
    </w:p>
    <w:p w14:paraId="7A27F20E" w14:textId="77777777" w:rsidR="00B601FD" w:rsidRDefault="00B601FD" w:rsidP="00B601FD">
      <w:pPr>
        <w:spacing w:after="0" w:line="240" w:lineRule="auto"/>
      </w:pPr>
    </w:p>
    <w:p w14:paraId="697E0A7B" w14:textId="7C60FAA7" w:rsidR="000401A0" w:rsidRDefault="000401A0" w:rsidP="00B601FD">
      <w:pPr>
        <w:spacing w:after="0" w:line="240" w:lineRule="auto"/>
      </w:pPr>
      <w:r>
        <w:t xml:space="preserve">Comment: </w:t>
      </w:r>
      <w:r w:rsidR="00022351">
        <w:t>Mike LaSc</w:t>
      </w:r>
      <w:r w:rsidR="00D12EEC">
        <w:t>u</w:t>
      </w:r>
      <w:r w:rsidR="00022351">
        <w:t>ola</w:t>
      </w:r>
      <w:r w:rsidR="00D12EEC">
        <w:t xml:space="preserve"> added that the Spokane Regional Health District is</w:t>
      </w:r>
      <w:r>
        <w:t xml:space="preserve"> </w:t>
      </w:r>
      <w:r w:rsidR="00022351">
        <w:t xml:space="preserve">looking </w:t>
      </w:r>
      <w:r w:rsidR="00D12EEC">
        <w:t xml:space="preserve">closely </w:t>
      </w:r>
      <w:r w:rsidR="00022351">
        <w:t>at schools</w:t>
      </w:r>
      <w:r>
        <w:t xml:space="preserve"> and legacy PCBs. S</w:t>
      </w:r>
      <w:r w:rsidR="00022351">
        <w:t>ome of the most heavi</w:t>
      </w:r>
      <w:r>
        <w:t xml:space="preserve">ly laden are grocery stores, </w:t>
      </w:r>
      <w:r w:rsidR="00022351">
        <w:t xml:space="preserve">small markets, </w:t>
      </w:r>
      <w:r>
        <w:t>and gas stations</w:t>
      </w:r>
      <w:r w:rsidR="00362B21">
        <w:t xml:space="preserve"> where there are PCBs in light ballasts and display cases</w:t>
      </w:r>
      <w:r w:rsidR="00022351">
        <w:t xml:space="preserve">. </w:t>
      </w:r>
    </w:p>
    <w:p w14:paraId="23650A25" w14:textId="77777777" w:rsidR="00B601FD" w:rsidRDefault="00B601FD" w:rsidP="00B601FD">
      <w:pPr>
        <w:spacing w:after="0" w:line="240" w:lineRule="auto"/>
      </w:pPr>
    </w:p>
    <w:p w14:paraId="7642F1C6" w14:textId="77777777" w:rsidR="00022351" w:rsidRDefault="000401A0" w:rsidP="00B601FD">
      <w:pPr>
        <w:spacing w:after="0" w:line="240" w:lineRule="auto"/>
      </w:pPr>
      <w:r>
        <w:t xml:space="preserve">Question: </w:t>
      </w:r>
      <w:r w:rsidR="00022351">
        <w:t xml:space="preserve">Do you </w:t>
      </w:r>
      <w:r>
        <w:t xml:space="preserve">(Holly) </w:t>
      </w:r>
      <w:r w:rsidR="00022351">
        <w:t>think a recommendation will come out of this similar to lead</w:t>
      </w:r>
      <w:r>
        <w:t>? How about landfills?  Holly: They are no</w:t>
      </w:r>
      <w:r w:rsidR="00022351">
        <w:t>t looking at residential</w:t>
      </w:r>
      <w:r>
        <w:t xml:space="preserve"> sources</w:t>
      </w:r>
      <w:r w:rsidR="00022351">
        <w:t xml:space="preserve"> as much</w:t>
      </w:r>
      <w:r>
        <w:t xml:space="preserve"> as public locations such as schools</w:t>
      </w:r>
      <w:r w:rsidR="00022351">
        <w:t>.</w:t>
      </w:r>
    </w:p>
    <w:p w14:paraId="01422BF3" w14:textId="77777777" w:rsidR="00B601FD" w:rsidRDefault="00B601FD" w:rsidP="00B601FD">
      <w:pPr>
        <w:spacing w:after="0" w:line="240" w:lineRule="auto"/>
      </w:pPr>
    </w:p>
    <w:p w14:paraId="629CB5DC" w14:textId="62D882CA" w:rsidR="00022351" w:rsidRDefault="000401A0" w:rsidP="00B601FD">
      <w:pPr>
        <w:spacing w:after="0" w:line="240" w:lineRule="auto"/>
      </w:pPr>
      <w:r>
        <w:t xml:space="preserve">Comment: The </w:t>
      </w:r>
      <w:r w:rsidR="00022351">
        <w:t>Spokane River Forum</w:t>
      </w:r>
      <w:r>
        <w:t xml:space="preserve"> webpage has a link where y</w:t>
      </w:r>
      <w:r w:rsidR="00022351">
        <w:t xml:space="preserve">ou can </w:t>
      </w:r>
      <w:r>
        <w:t>input</w:t>
      </w:r>
      <w:r w:rsidR="00022351">
        <w:t xml:space="preserve"> a product to get rid of and it will tell </w:t>
      </w:r>
      <w:r>
        <w:t>you how to get rid of the waste</w:t>
      </w:r>
      <w:r w:rsidR="00B601FD">
        <w:t xml:space="preserve">. </w:t>
      </w:r>
      <w:r>
        <w:t xml:space="preserve">The public can go to </w:t>
      </w:r>
      <w:hyperlink r:id="rId8" w:history="1">
        <w:r w:rsidR="00D12EEC" w:rsidRPr="00D12EEC">
          <w:rPr>
            <w:rStyle w:val="Hyperlink"/>
          </w:rPr>
          <w:t>www.</w:t>
        </w:r>
        <w:r w:rsidRPr="00D12EEC">
          <w:rPr>
            <w:rStyle w:val="Hyperlink"/>
          </w:rPr>
          <w:t>s</w:t>
        </w:r>
        <w:r w:rsidR="00022351" w:rsidRPr="00D12EEC">
          <w:rPr>
            <w:rStyle w:val="Hyperlink"/>
          </w:rPr>
          <w:t>pokaneriver.net/wastedirectory</w:t>
        </w:r>
      </w:hyperlink>
      <w:r w:rsidR="00022351">
        <w:t xml:space="preserve"> </w:t>
      </w:r>
      <w:r>
        <w:t>for information about proper toxics waste disposal</w:t>
      </w:r>
      <w:r w:rsidR="00022351">
        <w:t>.</w:t>
      </w:r>
    </w:p>
    <w:p w14:paraId="30F995AF" w14:textId="77777777" w:rsidR="00B601FD" w:rsidRDefault="00B601FD" w:rsidP="00B601FD">
      <w:pPr>
        <w:spacing w:after="0" w:line="240" w:lineRule="auto"/>
      </w:pPr>
    </w:p>
    <w:p w14:paraId="71F03AEE" w14:textId="708D9E52" w:rsidR="00944037" w:rsidRDefault="000401A0" w:rsidP="00B601FD">
      <w:pPr>
        <w:spacing w:after="0" w:line="240" w:lineRule="auto"/>
      </w:pPr>
      <w:r>
        <w:t xml:space="preserve">Question: Is there a </w:t>
      </w:r>
      <w:r w:rsidR="00D12EEC">
        <w:t xml:space="preserve">state </w:t>
      </w:r>
      <w:r>
        <w:t>p</w:t>
      </w:r>
      <w:r w:rsidR="00D12EEC">
        <w:t>rogram</w:t>
      </w:r>
      <w:r w:rsidR="00944037">
        <w:t xml:space="preserve"> to deal with school PCBs?  Answer: </w:t>
      </w:r>
      <w:r>
        <w:t xml:space="preserve">The </w:t>
      </w:r>
      <w:r w:rsidR="00944037">
        <w:t>budget package is in</w:t>
      </w:r>
      <w:r>
        <w:t xml:space="preserve"> and they are </w:t>
      </w:r>
      <w:r w:rsidR="00944037">
        <w:t>going to hire someone to</w:t>
      </w:r>
      <w:r>
        <w:t xml:space="preserve"> work with the school districts and develop a s</w:t>
      </w:r>
      <w:r w:rsidR="00944037">
        <w:t xml:space="preserve">trategy for </w:t>
      </w:r>
      <w:r w:rsidR="00D12EEC">
        <w:t xml:space="preserve">working with the </w:t>
      </w:r>
      <w:r w:rsidR="00944037">
        <w:t>school districts.</w:t>
      </w:r>
    </w:p>
    <w:p w14:paraId="2811ACEE" w14:textId="77777777" w:rsidR="00B601FD" w:rsidRDefault="00B601FD" w:rsidP="00B601FD">
      <w:pPr>
        <w:spacing w:after="0" w:line="240" w:lineRule="auto"/>
        <w:rPr>
          <w:b/>
          <w:u w:val="single"/>
        </w:rPr>
      </w:pPr>
    </w:p>
    <w:p w14:paraId="4923F2AA" w14:textId="77777777" w:rsidR="00AD2286" w:rsidRPr="00B601FD" w:rsidRDefault="00AD2286" w:rsidP="00D12EEC">
      <w:pPr>
        <w:spacing w:before="120" w:after="60" w:line="240" w:lineRule="auto"/>
        <w:rPr>
          <w:b/>
        </w:rPr>
      </w:pPr>
      <w:r w:rsidRPr="00B601FD">
        <w:rPr>
          <w:b/>
        </w:rPr>
        <w:t>Update on quantifying PCBs Removed to date (SRSP)</w:t>
      </w:r>
    </w:p>
    <w:p w14:paraId="03213330" w14:textId="3193EE2A" w:rsidR="006B18AB" w:rsidRDefault="005352A5" w:rsidP="00B601FD">
      <w:pPr>
        <w:spacing w:after="0" w:line="240" w:lineRule="auto"/>
      </w:pPr>
      <w:r>
        <w:t xml:space="preserve">Lisa </w:t>
      </w:r>
      <w:r w:rsidR="006B18AB">
        <w:t xml:space="preserve">Dally Wilson </w:t>
      </w:r>
      <w:r>
        <w:t>discussed the summary of collective S</w:t>
      </w:r>
      <w:r w:rsidR="00D12EEC">
        <w:t xml:space="preserve">pokane </w:t>
      </w:r>
      <w:r>
        <w:t>R</w:t>
      </w:r>
      <w:r w:rsidR="00D12EEC">
        <w:t xml:space="preserve">iver </w:t>
      </w:r>
      <w:r>
        <w:t>S</w:t>
      </w:r>
      <w:r w:rsidR="00D12EEC">
        <w:t xml:space="preserve">tewardship </w:t>
      </w:r>
      <w:r>
        <w:t>P</w:t>
      </w:r>
      <w:r w:rsidR="00D12EEC">
        <w:t>artners (SRSP)</w:t>
      </w:r>
      <w:r>
        <w:t xml:space="preserve"> PCB activities including meetings, TSCA reform, monitoring,</w:t>
      </w:r>
      <w:r w:rsidR="006B18AB">
        <w:t xml:space="preserve"> </w:t>
      </w:r>
      <w:r>
        <w:t xml:space="preserve">funding, </w:t>
      </w:r>
      <w:r w:rsidR="006B18AB">
        <w:t>and workshops</w:t>
      </w:r>
      <w:r>
        <w:t xml:space="preserve">. </w:t>
      </w:r>
      <w:r w:rsidR="006B18AB" w:rsidRPr="006B18AB">
        <w:t>This</w:t>
      </w:r>
      <w:r w:rsidR="006B18AB">
        <w:t xml:space="preserve"> document</w:t>
      </w:r>
      <w:r w:rsidR="006B18AB" w:rsidRPr="006B18AB">
        <w:t xml:space="preserve"> is </w:t>
      </w:r>
      <w:r w:rsidR="006B18AB">
        <w:t>a start in</w:t>
      </w:r>
      <w:r w:rsidR="006B18AB" w:rsidRPr="006B18AB">
        <w:t xml:space="preserve"> communicating </w:t>
      </w:r>
      <w:r w:rsidR="00D12EEC">
        <w:t xml:space="preserve">Task Force activities and accomplishments </w:t>
      </w:r>
      <w:r w:rsidR="006B18AB" w:rsidRPr="006B18AB">
        <w:t xml:space="preserve">to the public. It is one piece of the larger picture that relates to Measurable Progress. </w:t>
      </w:r>
      <w:r w:rsidR="006B18AB">
        <w:t xml:space="preserve">The </w:t>
      </w:r>
      <w:r w:rsidR="00D12EEC">
        <w:t xml:space="preserve">Task Force </w:t>
      </w:r>
      <w:r w:rsidR="006B18AB">
        <w:t xml:space="preserve">is getting wide spread support for </w:t>
      </w:r>
      <w:r w:rsidR="00D12EEC">
        <w:t xml:space="preserve">its </w:t>
      </w:r>
      <w:r w:rsidR="006B18AB">
        <w:t xml:space="preserve">efforts, including </w:t>
      </w:r>
      <w:r w:rsidR="00D12EEC">
        <w:t xml:space="preserve">from </w:t>
      </w:r>
      <w:r w:rsidR="006B18AB">
        <w:t xml:space="preserve">the EPA and the Governor’s office. Many are looking at the SRRTTF as a model for other efforts. </w:t>
      </w:r>
    </w:p>
    <w:p w14:paraId="2BB55A3B" w14:textId="77777777" w:rsidR="00B601FD" w:rsidRDefault="00B601FD" w:rsidP="00B601FD">
      <w:pPr>
        <w:spacing w:after="0" w:line="240" w:lineRule="auto"/>
      </w:pPr>
    </w:p>
    <w:p w14:paraId="67536033" w14:textId="5C53E357" w:rsidR="00746D28" w:rsidRPr="00746D28" w:rsidRDefault="00D12EEC" w:rsidP="00B601FD">
      <w:pPr>
        <w:spacing w:after="0" w:line="240" w:lineRule="auto"/>
      </w:pPr>
      <w:r>
        <w:t xml:space="preserve">Task Force </w:t>
      </w:r>
      <w:r w:rsidR="006B18AB">
        <w:t xml:space="preserve">members discussed the need to continue to show their progress through summarizing qualitative and quantitative success and </w:t>
      </w:r>
      <w:r>
        <w:t xml:space="preserve">documenting </w:t>
      </w:r>
      <w:r w:rsidR="006B18AB">
        <w:t>activ</w:t>
      </w:r>
      <w:r w:rsidR="00746D28">
        <w:t xml:space="preserve">ities on the </w:t>
      </w:r>
      <w:r>
        <w:t xml:space="preserve">Task Force </w:t>
      </w:r>
      <w:r w:rsidR="00746D28">
        <w:t xml:space="preserve">website. </w:t>
      </w:r>
      <w:r w:rsidR="006B18AB" w:rsidRPr="00746D28">
        <w:rPr>
          <w:rFonts w:asciiTheme="minorHAnsi" w:hAnsiTheme="minorHAnsi"/>
        </w:rPr>
        <w:t xml:space="preserve">The </w:t>
      </w:r>
      <w:r>
        <w:t xml:space="preserve">Task Force </w:t>
      </w:r>
      <w:r w:rsidR="00746D28">
        <w:rPr>
          <w:rFonts w:asciiTheme="minorHAnsi" w:hAnsiTheme="minorHAnsi"/>
        </w:rPr>
        <w:t xml:space="preserve">also </w:t>
      </w:r>
      <w:r w:rsidR="00746D28" w:rsidRPr="00746D28">
        <w:rPr>
          <w:rFonts w:asciiTheme="minorHAnsi" w:hAnsiTheme="minorHAnsi"/>
        </w:rPr>
        <w:t>discussed</w:t>
      </w:r>
      <w:r w:rsidR="006B18AB" w:rsidRPr="00746D28">
        <w:rPr>
          <w:rFonts w:asciiTheme="minorHAnsi" w:hAnsiTheme="minorHAnsi" w:cs="Calibri,Bold"/>
          <w:bCs/>
        </w:rPr>
        <w:t xml:space="preserve"> using this as a baseline </w:t>
      </w:r>
      <w:r>
        <w:rPr>
          <w:rFonts w:asciiTheme="minorHAnsi" w:hAnsiTheme="minorHAnsi" w:cs="Calibri,Bold"/>
          <w:bCs/>
        </w:rPr>
        <w:t xml:space="preserve">for </w:t>
      </w:r>
      <w:r w:rsidR="00746D28">
        <w:rPr>
          <w:rFonts w:asciiTheme="minorHAnsi" w:hAnsiTheme="minorHAnsi" w:cs="Calibri,Bold"/>
          <w:bCs/>
        </w:rPr>
        <w:t xml:space="preserve">drafting an SRRTTF annual report. </w:t>
      </w:r>
      <w:r>
        <w:rPr>
          <w:rFonts w:asciiTheme="minorHAnsi" w:hAnsiTheme="minorHAnsi" w:cs="Calibri,Bold"/>
          <w:bCs/>
        </w:rPr>
        <w:t xml:space="preserve">NOTE: the numbers of PCBs removed </w:t>
      </w:r>
      <w:r w:rsidR="006B18AB" w:rsidRPr="00746D28">
        <w:rPr>
          <w:rFonts w:asciiTheme="minorHAnsi" w:hAnsiTheme="minorHAnsi" w:cs="Calibri,Bold"/>
          <w:bCs/>
        </w:rPr>
        <w:t xml:space="preserve">does represent an “apples to oranges” presentation since not all of the permits have the same requirements. </w:t>
      </w:r>
    </w:p>
    <w:p w14:paraId="049E8269" w14:textId="77777777" w:rsidR="00B601FD" w:rsidRDefault="00B601FD" w:rsidP="00B601FD">
      <w:pPr>
        <w:autoSpaceDE w:val="0"/>
        <w:autoSpaceDN w:val="0"/>
        <w:adjustRightInd w:val="0"/>
        <w:spacing w:after="0" w:line="240" w:lineRule="auto"/>
        <w:rPr>
          <w:rFonts w:asciiTheme="minorHAnsi" w:hAnsiTheme="minorHAnsi" w:cs="Calibri,Bold"/>
          <w:bCs/>
        </w:rPr>
      </w:pPr>
    </w:p>
    <w:p w14:paraId="4FFDAF9D" w14:textId="22028732" w:rsidR="006B18AB" w:rsidRPr="00746D28" w:rsidRDefault="00746D28" w:rsidP="00B601FD">
      <w:pPr>
        <w:autoSpaceDE w:val="0"/>
        <w:autoSpaceDN w:val="0"/>
        <w:adjustRightInd w:val="0"/>
        <w:spacing w:after="0" w:line="240" w:lineRule="auto"/>
        <w:rPr>
          <w:rFonts w:asciiTheme="minorHAnsi" w:hAnsiTheme="minorHAnsi" w:cs="Calibri,Bold"/>
          <w:bCs/>
        </w:rPr>
      </w:pPr>
      <w:r>
        <w:rPr>
          <w:rFonts w:asciiTheme="minorHAnsi" w:hAnsiTheme="minorHAnsi" w:cs="Calibri,Bold"/>
          <w:bCs/>
        </w:rPr>
        <w:t xml:space="preserve">The </w:t>
      </w:r>
      <w:r w:rsidR="00D12EEC">
        <w:t xml:space="preserve">Task Force </w:t>
      </w:r>
      <w:r>
        <w:rPr>
          <w:rFonts w:asciiTheme="minorHAnsi" w:hAnsiTheme="minorHAnsi" w:cs="Calibri,Bold"/>
          <w:bCs/>
        </w:rPr>
        <w:t>discussed h</w:t>
      </w:r>
      <w:r w:rsidR="006B18AB" w:rsidRPr="00746D28">
        <w:rPr>
          <w:rFonts w:asciiTheme="minorHAnsi" w:hAnsiTheme="minorHAnsi" w:cs="Calibri,Bold"/>
          <w:bCs/>
        </w:rPr>
        <w:t xml:space="preserve">ow this would relate to the permit renewal process and determining measurable progress. </w:t>
      </w:r>
      <w:r>
        <w:rPr>
          <w:rFonts w:asciiTheme="minorHAnsi" w:hAnsiTheme="minorHAnsi" w:cs="Calibri,Bold"/>
          <w:bCs/>
        </w:rPr>
        <w:t xml:space="preserve">Adriane Borgias explained that including a “measurable progress” determination in permit renewal is </w:t>
      </w:r>
      <w:r w:rsidR="006B18AB" w:rsidRPr="00746D28">
        <w:rPr>
          <w:rFonts w:asciiTheme="minorHAnsi" w:hAnsiTheme="minorHAnsi" w:cs="Calibri,Bold"/>
          <w:bCs/>
        </w:rPr>
        <w:t xml:space="preserve">a new activity for Ecology, so there are still discussions about the process. </w:t>
      </w:r>
    </w:p>
    <w:p w14:paraId="52470016" w14:textId="77777777" w:rsidR="006B18AB" w:rsidRPr="00746D28" w:rsidRDefault="006B18AB" w:rsidP="00B601FD">
      <w:pPr>
        <w:autoSpaceDE w:val="0"/>
        <w:autoSpaceDN w:val="0"/>
        <w:adjustRightInd w:val="0"/>
        <w:spacing w:after="0" w:line="240" w:lineRule="auto"/>
        <w:rPr>
          <w:rFonts w:asciiTheme="minorHAnsi" w:hAnsiTheme="minorHAnsi" w:cs="Calibri,Bold"/>
          <w:bCs/>
        </w:rPr>
      </w:pPr>
    </w:p>
    <w:p w14:paraId="08DB34F8" w14:textId="02B8BA72" w:rsidR="006B18AB" w:rsidRDefault="006B18AB" w:rsidP="00B601FD">
      <w:pPr>
        <w:autoSpaceDE w:val="0"/>
        <w:autoSpaceDN w:val="0"/>
        <w:adjustRightInd w:val="0"/>
        <w:spacing w:after="0" w:line="240" w:lineRule="auto"/>
        <w:rPr>
          <w:rFonts w:asciiTheme="minorHAnsi" w:hAnsiTheme="minorHAnsi" w:cs="Calibri,Bold"/>
          <w:bCs/>
        </w:rPr>
      </w:pPr>
      <w:r w:rsidRPr="00746D28">
        <w:rPr>
          <w:rFonts w:asciiTheme="minorHAnsi" w:hAnsiTheme="minorHAnsi" w:cs="Calibri,Bold"/>
          <w:bCs/>
        </w:rPr>
        <w:t xml:space="preserve">Further discussion about how other data </w:t>
      </w:r>
      <w:r w:rsidR="00A83376" w:rsidRPr="00746D28">
        <w:rPr>
          <w:rFonts w:asciiTheme="minorHAnsi" w:hAnsiTheme="minorHAnsi" w:cs="Calibri,Bold"/>
          <w:bCs/>
        </w:rPr>
        <w:t xml:space="preserve">outside the direct scope and control of the SRRTTF </w:t>
      </w:r>
      <w:r w:rsidRPr="00746D28">
        <w:rPr>
          <w:rFonts w:asciiTheme="minorHAnsi" w:hAnsiTheme="minorHAnsi" w:cs="Calibri,Bold"/>
          <w:bCs/>
        </w:rPr>
        <w:t>might fit</w:t>
      </w:r>
      <w:r w:rsidR="00D12EEC">
        <w:rPr>
          <w:rFonts w:asciiTheme="minorHAnsi" w:hAnsiTheme="minorHAnsi" w:cs="Calibri,Bold"/>
          <w:bCs/>
        </w:rPr>
        <w:t xml:space="preserve"> this</w:t>
      </w:r>
      <w:r w:rsidRPr="00746D28">
        <w:rPr>
          <w:rFonts w:asciiTheme="minorHAnsi" w:hAnsiTheme="minorHAnsi" w:cs="Calibri,Bold"/>
          <w:bCs/>
        </w:rPr>
        <w:t>, like waste disposal data or activities</w:t>
      </w:r>
      <w:r w:rsidR="00A83376">
        <w:rPr>
          <w:rFonts w:asciiTheme="minorHAnsi" w:hAnsiTheme="minorHAnsi" w:cs="Calibri,Bold"/>
          <w:bCs/>
        </w:rPr>
        <w:t>, i.e.</w:t>
      </w:r>
      <w:r w:rsidRPr="00746D28">
        <w:rPr>
          <w:rFonts w:asciiTheme="minorHAnsi" w:hAnsiTheme="minorHAnsi" w:cs="Calibri,Bold"/>
          <w:bCs/>
        </w:rPr>
        <w:t xml:space="preserve"> the “collateral” benefits that contribute towards overall progress. </w:t>
      </w:r>
    </w:p>
    <w:p w14:paraId="5C8BD3ED" w14:textId="77777777" w:rsidR="00B601FD" w:rsidRDefault="00B601FD" w:rsidP="00B601FD">
      <w:pPr>
        <w:autoSpaceDE w:val="0"/>
        <w:autoSpaceDN w:val="0"/>
        <w:adjustRightInd w:val="0"/>
        <w:spacing w:after="0" w:line="240" w:lineRule="auto"/>
        <w:rPr>
          <w:rFonts w:asciiTheme="minorHAnsi" w:hAnsiTheme="minorHAnsi" w:cs="Calibri,Bold"/>
          <w:bCs/>
        </w:rPr>
      </w:pPr>
    </w:p>
    <w:p w14:paraId="7B4E1006" w14:textId="77777777" w:rsidR="00746D28" w:rsidRDefault="00746D28" w:rsidP="00B601FD">
      <w:pPr>
        <w:autoSpaceDE w:val="0"/>
        <w:autoSpaceDN w:val="0"/>
        <w:adjustRightInd w:val="0"/>
        <w:spacing w:after="0" w:line="240" w:lineRule="auto"/>
        <w:rPr>
          <w:rFonts w:asciiTheme="minorHAnsi" w:hAnsiTheme="minorHAnsi" w:cs="Calibri,Bold"/>
          <w:bCs/>
        </w:rPr>
      </w:pPr>
      <w:r>
        <w:rPr>
          <w:rFonts w:asciiTheme="minorHAnsi" w:hAnsiTheme="minorHAnsi" w:cs="Calibri,Bold"/>
          <w:bCs/>
        </w:rPr>
        <w:t>Discussion items:</w:t>
      </w:r>
    </w:p>
    <w:p w14:paraId="7CC9A9B7" w14:textId="6BEA76E3" w:rsidR="00746D28" w:rsidRDefault="00746D28" w:rsidP="00B601FD">
      <w:pPr>
        <w:pStyle w:val="ListParagraph"/>
        <w:numPr>
          <w:ilvl w:val="0"/>
          <w:numId w:val="30"/>
        </w:numPr>
        <w:spacing w:after="0" w:line="240" w:lineRule="auto"/>
        <w:ind w:left="720"/>
      </w:pPr>
      <w:r>
        <w:t>Timeframes</w:t>
      </w:r>
      <w:r w:rsidR="005352A5">
        <w:t xml:space="preserve"> included so that </w:t>
      </w:r>
      <w:r>
        <w:t xml:space="preserve">the </w:t>
      </w:r>
      <w:r w:rsidR="00A83376">
        <w:t xml:space="preserve">Task Force </w:t>
      </w:r>
      <w:r w:rsidR="005352A5">
        <w:t>can beg</w:t>
      </w:r>
      <w:r w:rsidR="00A83376">
        <w:t>in to look at trends over time</w:t>
      </w:r>
    </w:p>
    <w:p w14:paraId="5F80D547" w14:textId="152A91AC" w:rsidR="00746D28" w:rsidRDefault="00746D28" w:rsidP="00B601FD">
      <w:pPr>
        <w:pStyle w:val="ListParagraph"/>
        <w:numPr>
          <w:ilvl w:val="0"/>
          <w:numId w:val="30"/>
        </w:numPr>
        <w:spacing w:after="0" w:line="240" w:lineRule="auto"/>
        <w:ind w:left="720"/>
      </w:pPr>
      <w:r>
        <w:t>A</w:t>
      </w:r>
      <w:r w:rsidR="00A83376">
        <w:t>nnual summary of progress</w:t>
      </w:r>
    </w:p>
    <w:p w14:paraId="6C82F21C" w14:textId="4FFF9A38" w:rsidR="00746D28" w:rsidRDefault="00746D28" w:rsidP="00B601FD">
      <w:pPr>
        <w:pStyle w:val="ListParagraph"/>
        <w:numPr>
          <w:ilvl w:val="0"/>
          <w:numId w:val="30"/>
        </w:numPr>
        <w:spacing w:after="0" w:line="240" w:lineRule="auto"/>
        <w:ind w:left="720"/>
      </w:pPr>
      <w:r>
        <w:t>Q</w:t>
      </w:r>
      <w:r w:rsidR="0079474A">
        <w:t>uantifying identification and disposal of waste matter</w:t>
      </w:r>
      <w:r>
        <w:t xml:space="preserve"> for each permit holder?</w:t>
      </w:r>
      <w:r w:rsidR="00A83376">
        <w:t xml:space="preserve"> </w:t>
      </w:r>
      <w:r>
        <w:t>Is there a PCB category when disposing of waste?</w:t>
      </w:r>
    </w:p>
    <w:p w14:paraId="768F1CE5" w14:textId="309795AB" w:rsidR="00746D28" w:rsidRDefault="00D134F4" w:rsidP="00B601FD">
      <w:pPr>
        <w:pStyle w:val="ListParagraph"/>
        <w:numPr>
          <w:ilvl w:val="0"/>
          <w:numId w:val="30"/>
        </w:numPr>
        <w:spacing w:after="0" w:line="240" w:lineRule="auto"/>
        <w:ind w:left="720"/>
      </w:pPr>
      <w:r>
        <w:lastRenderedPageBreak/>
        <w:t xml:space="preserve">Who will compile the data? It is part of </w:t>
      </w:r>
      <w:r w:rsidR="00A83376">
        <w:t xml:space="preserve">individual </w:t>
      </w:r>
      <w:r>
        <w:t>permit requirements, but we need to compile information collectively</w:t>
      </w:r>
      <w:r w:rsidR="00B601FD">
        <w:t xml:space="preserve">. </w:t>
      </w:r>
      <w:r w:rsidR="00746D28">
        <w:t xml:space="preserve">Is this a </w:t>
      </w:r>
      <w:r w:rsidR="00A83376">
        <w:t xml:space="preserve">Task Force </w:t>
      </w:r>
      <w:r w:rsidR="00746D28">
        <w:t xml:space="preserve">activity or a work group activity? Task force staffing? </w:t>
      </w:r>
    </w:p>
    <w:p w14:paraId="23B7594D" w14:textId="77777777" w:rsidR="00D134F4" w:rsidRDefault="00D134F4" w:rsidP="00B601FD">
      <w:pPr>
        <w:pStyle w:val="ListParagraph"/>
        <w:numPr>
          <w:ilvl w:val="0"/>
          <w:numId w:val="30"/>
        </w:numPr>
        <w:spacing w:after="0" w:line="240" w:lineRule="auto"/>
        <w:ind w:left="720"/>
      </w:pPr>
      <w:r>
        <w:t>Website location for communicating measurable progress (year in review etc)</w:t>
      </w:r>
    </w:p>
    <w:p w14:paraId="4BE9AE9F" w14:textId="77777777" w:rsidR="00B601FD" w:rsidRDefault="00B601FD" w:rsidP="00B601FD">
      <w:pPr>
        <w:spacing w:after="0" w:line="240" w:lineRule="auto"/>
      </w:pPr>
    </w:p>
    <w:p w14:paraId="5EDCE6D2" w14:textId="7FADE734" w:rsidR="00DB26D9" w:rsidRDefault="00D134F4" w:rsidP="00B601FD">
      <w:pPr>
        <w:spacing w:after="0" w:line="240" w:lineRule="auto"/>
      </w:pPr>
      <w:r>
        <w:t>ACTION ITEM</w:t>
      </w:r>
      <w:r w:rsidR="00DB26D9">
        <w:t xml:space="preserve">: </w:t>
      </w:r>
      <w:r>
        <w:t xml:space="preserve">Adriane will request that Ecology’s Permit group attend a SRRTTF meeting to discuss what data is needed, how </w:t>
      </w:r>
      <w:r w:rsidR="00481789">
        <w:t>the data collected and what is</w:t>
      </w:r>
      <w:r>
        <w:t xml:space="preserve"> i</w:t>
      </w:r>
      <w:r w:rsidR="00A83376">
        <w:t>s the process for determining measurable progress</w:t>
      </w:r>
      <w:r>
        <w:t>. (COMPLETE: Permit group is available for the February 2015 meeting).</w:t>
      </w:r>
    </w:p>
    <w:p w14:paraId="5B8FF70E" w14:textId="77777777" w:rsidR="00B601FD" w:rsidRDefault="00B601FD" w:rsidP="00B601FD">
      <w:pPr>
        <w:spacing w:after="0" w:line="240" w:lineRule="auto"/>
        <w:rPr>
          <w:b/>
        </w:rPr>
      </w:pPr>
    </w:p>
    <w:p w14:paraId="200D7654" w14:textId="77777777" w:rsidR="00AD2286" w:rsidRPr="00B601FD" w:rsidRDefault="00AD2286" w:rsidP="00A83376">
      <w:pPr>
        <w:spacing w:before="120" w:after="60" w:line="240" w:lineRule="auto"/>
        <w:rPr>
          <w:b/>
        </w:rPr>
      </w:pPr>
      <w:r w:rsidRPr="00B601FD">
        <w:rPr>
          <w:b/>
        </w:rPr>
        <w:t xml:space="preserve">Executive Director for SRRTTF: </w:t>
      </w:r>
      <w:r w:rsidR="00B601FD">
        <w:rPr>
          <w:b/>
        </w:rPr>
        <w:t>T</w:t>
      </w:r>
      <w:r w:rsidRPr="00B601FD">
        <w:rPr>
          <w:b/>
        </w:rPr>
        <w:t xml:space="preserve">houghts on </w:t>
      </w:r>
      <w:r w:rsidR="00B601FD">
        <w:rPr>
          <w:b/>
        </w:rPr>
        <w:t>C</w:t>
      </w:r>
      <w:r w:rsidRPr="00B601FD">
        <w:rPr>
          <w:b/>
        </w:rPr>
        <w:t>oncept</w:t>
      </w:r>
      <w:r w:rsidR="00B601FD">
        <w:rPr>
          <w:b/>
        </w:rPr>
        <w:t>,</w:t>
      </w:r>
      <w:r w:rsidRPr="00B601FD">
        <w:rPr>
          <w:b/>
        </w:rPr>
        <w:t xml:space="preserve"> Role, </w:t>
      </w:r>
      <w:r w:rsidR="00481789" w:rsidRPr="00B601FD">
        <w:rPr>
          <w:b/>
        </w:rPr>
        <w:t>Skillet</w:t>
      </w:r>
    </w:p>
    <w:p w14:paraId="3F81424B" w14:textId="453D79CE" w:rsidR="006F054A" w:rsidRDefault="00C558A9" w:rsidP="00B601FD">
      <w:pPr>
        <w:spacing w:after="0" w:line="240" w:lineRule="auto"/>
      </w:pPr>
      <w:r>
        <w:t xml:space="preserve">The </w:t>
      </w:r>
      <w:r w:rsidR="00A83376">
        <w:t xml:space="preserve">Task Force </w:t>
      </w:r>
      <w:r>
        <w:t>discussed the possibility of an executive director</w:t>
      </w:r>
      <w:r w:rsidR="000C31A2">
        <w:t xml:space="preserve"> </w:t>
      </w:r>
      <w:r w:rsidR="00A83376">
        <w:t xml:space="preserve">or other staff </w:t>
      </w:r>
      <w:r w:rsidR="000C31A2">
        <w:t>position</w:t>
      </w:r>
      <w:r w:rsidR="00B601FD">
        <w:t xml:space="preserve">. </w:t>
      </w:r>
      <w:r>
        <w:t>There is a need for a point person for grants and fundin</w:t>
      </w:r>
      <w:r w:rsidR="006F054A">
        <w:t>g, facilitation,</w:t>
      </w:r>
      <w:r w:rsidR="000C31A2">
        <w:t xml:space="preserve"> and other duties</w:t>
      </w:r>
      <w:r>
        <w:t>.</w:t>
      </w:r>
      <w:r w:rsidR="006F054A">
        <w:t xml:space="preserve"> </w:t>
      </w:r>
      <w:r w:rsidR="00A83376">
        <w:t xml:space="preserve">The Task Force’s </w:t>
      </w:r>
      <w:r w:rsidR="006F054A">
        <w:t>A</w:t>
      </w:r>
      <w:r w:rsidR="00A83376">
        <w:t xml:space="preserve">dministrative &amp; </w:t>
      </w:r>
      <w:r w:rsidR="006F054A">
        <w:t>C</w:t>
      </w:r>
      <w:r w:rsidR="00A83376">
        <w:t xml:space="preserve">ontracting </w:t>
      </w:r>
      <w:r w:rsidR="006F054A">
        <w:t>E</w:t>
      </w:r>
      <w:r w:rsidR="00A83376">
        <w:t>ntity (ACE)</w:t>
      </w:r>
      <w:r w:rsidR="006F054A">
        <w:t xml:space="preserve"> does not have a recommendation at this time, but would like </w:t>
      </w:r>
      <w:r w:rsidR="00A83376">
        <w:t>Task Force input</w:t>
      </w:r>
      <w:r w:rsidR="00B601FD">
        <w:t xml:space="preserve">. </w:t>
      </w:r>
    </w:p>
    <w:p w14:paraId="5CD8FF8D" w14:textId="77777777" w:rsidR="00B601FD" w:rsidRPr="00B601FD" w:rsidRDefault="00B601FD" w:rsidP="00B601FD">
      <w:pPr>
        <w:spacing w:after="0" w:line="240" w:lineRule="auto"/>
        <w:rPr>
          <w:szCs w:val="20"/>
        </w:rPr>
      </w:pPr>
    </w:p>
    <w:p w14:paraId="0BD0A8EE" w14:textId="70B9D6E2" w:rsidR="00DD6133" w:rsidRPr="00B601FD" w:rsidRDefault="00A83376" w:rsidP="00B601FD">
      <w:pPr>
        <w:spacing w:after="0" w:line="240" w:lineRule="auto"/>
        <w:rPr>
          <w:sz w:val="24"/>
        </w:rPr>
      </w:pPr>
      <w:r>
        <w:rPr>
          <w:szCs w:val="20"/>
        </w:rPr>
        <w:t>T</w:t>
      </w:r>
      <w:r w:rsidR="00DD6133" w:rsidRPr="00B601FD">
        <w:rPr>
          <w:szCs w:val="20"/>
        </w:rPr>
        <w:t xml:space="preserve">his person could </w:t>
      </w:r>
      <w:r>
        <w:rPr>
          <w:szCs w:val="20"/>
        </w:rPr>
        <w:t xml:space="preserve">handle </w:t>
      </w:r>
      <w:r w:rsidR="00DD6133" w:rsidRPr="00B601FD">
        <w:rPr>
          <w:szCs w:val="20"/>
        </w:rPr>
        <w:t xml:space="preserve">collating the </w:t>
      </w:r>
      <w:r>
        <w:rPr>
          <w:szCs w:val="20"/>
        </w:rPr>
        <w:t>m</w:t>
      </w:r>
      <w:r w:rsidR="00DD6133" w:rsidRPr="00B601FD">
        <w:rPr>
          <w:szCs w:val="20"/>
        </w:rPr>
        <w:t xml:space="preserve">easurable </w:t>
      </w:r>
      <w:r>
        <w:rPr>
          <w:szCs w:val="20"/>
        </w:rPr>
        <w:t>p</w:t>
      </w:r>
      <w:r w:rsidR="00DD6133" w:rsidRPr="00B601FD">
        <w:rPr>
          <w:szCs w:val="20"/>
        </w:rPr>
        <w:t xml:space="preserve">rogress </w:t>
      </w:r>
      <w:r>
        <w:rPr>
          <w:szCs w:val="20"/>
        </w:rPr>
        <w:t>s</w:t>
      </w:r>
      <w:r w:rsidR="00DD6133" w:rsidRPr="00B601FD">
        <w:rPr>
          <w:szCs w:val="20"/>
        </w:rPr>
        <w:t>ummary, grant applications, etc</w:t>
      </w:r>
      <w:r w:rsidR="00B601FD">
        <w:rPr>
          <w:szCs w:val="20"/>
        </w:rPr>
        <w:t xml:space="preserve">. </w:t>
      </w:r>
      <w:r w:rsidR="00DD6133" w:rsidRPr="00B601FD">
        <w:rPr>
          <w:szCs w:val="20"/>
        </w:rPr>
        <w:t xml:space="preserve"> The </w:t>
      </w:r>
      <w:r>
        <w:t xml:space="preserve">Task Force </w:t>
      </w:r>
      <w:r w:rsidR="00DD6133" w:rsidRPr="00B601FD">
        <w:rPr>
          <w:szCs w:val="20"/>
        </w:rPr>
        <w:t xml:space="preserve">discussed that this </w:t>
      </w:r>
      <w:r>
        <w:rPr>
          <w:szCs w:val="20"/>
        </w:rPr>
        <w:t xml:space="preserve">role </w:t>
      </w:r>
      <w:r w:rsidR="00DD6133" w:rsidRPr="00B601FD">
        <w:rPr>
          <w:szCs w:val="20"/>
        </w:rPr>
        <w:t xml:space="preserve">would need to be well-defined and distinguished </w:t>
      </w:r>
      <w:r>
        <w:rPr>
          <w:szCs w:val="20"/>
        </w:rPr>
        <w:t xml:space="preserve">from </w:t>
      </w:r>
      <w:r w:rsidR="00DD6133" w:rsidRPr="00B601FD">
        <w:rPr>
          <w:szCs w:val="20"/>
        </w:rPr>
        <w:t>a staff person for ACE who reports to and takes direction from the SRRTTF</w:t>
      </w:r>
      <w:r w:rsidR="00B601FD">
        <w:rPr>
          <w:szCs w:val="20"/>
        </w:rPr>
        <w:t xml:space="preserve">. </w:t>
      </w:r>
      <w:r w:rsidR="00DD6133" w:rsidRPr="00B601FD">
        <w:rPr>
          <w:szCs w:val="20"/>
        </w:rPr>
        <w:t>Facilitation was mentioned as a possible role; however</w:t>
      </w:r>
      <w:r w:rsidR="001F31B0" w:rsidRPr="00B601FD">
        <w:rPr>
          <w:szCs w:val="20"/>
        </w:rPr>
        <w:t xml:space="preserve"> concern was raised over this possible role. A</w:t>
      </w:r>
      <w:r w:rsidR="00DD6133" w:rsidRPr="00B601FD">
        <w:rPr>
          <w:szCs w:val="20"/>
        </w:rPr>
        <w:t>n independent facilitator is an important function</w:t>
      </w:r>
      <w:r w:rsidR="00B601FD">
        <w:rPr>
          <w:szCs w:val="20"/>
        </w:rPr>
        <w:t xml:space="preserve">. </w:t>
      </w:r>
      <w:r w:rsidR="00DD6133" w:rsidRPr="00B601FD">
        <w:rPr>
          <w:szCs w:val="20"/>
        </w:rPr>
        <w:t>A concern was mentioned about whether there would be enough funding for both an Executive Director and a facilitator. Discussion about whether this would be an Executive Director role or whether a staff administrator type role</w:t>
      </w:r>
      <w:r w:rsidR="00B601FD">
        <w:rPr>
          <w:szCs w:val="20"/>
        </w:rPr>
        <w:t xml:space="preserve">. </w:t>
      </w:r>
    </w:p>
    <w:p w14:paraId="7F5B91EE" w14:textId="77777777" w:rsidR="00A83376" w:rsidRDefault="00A83376" w:rsidP="00B601FD">
      <w:pPr>
        <w:spacing w:after="0" w:line="240" w:lineRule="auto"/>
        <w:rPr>
          <w:sz w:val="24"/>
        </w:rPr>
      </w:pPr>
    </w:p>
    <w:p w14:paraId="5EED6ABB" w14:textId="77777777" w:rsidR="009D1C1D" w:rsidRPr="00B601FD" w:rsidRDefault="00980A57" w:rsidP="00B601FD">
      <w:pPr>
        <w:spacing w:after="0" w:line="240" w:lineRule="auto"/>
        <w:rPr>
          <w:sz w:val="24"/>
        </w:rPr>
      </w:pPr>
      <w:r w:rsidRPr="00B601FD">
        <w:rPr>
          <w:sz w:val="24"/>
        </w:rPr>
        <w:t xml:space="preserve">ACTION ITEM: </w:t>
      </w:r>
      <w:r w:rsidR="001F31B0" w:rsidRPr="00B601FD">
        <w:rPr>
          <w:szCs w:val="20"/>
        </w:rPr>
        <w:t xml:space="preserve">ACE to create </w:t>
      </w:r>
      <w:r w:rsidR="00DD6133" w:rsidRPr="00B601FD">
        <w:rPr>
          <w:szCs w:val="20"/>
        </w:rPr>
        <w:t>staffing suggestions, “Position Description” and bring it back to the SRRTTF for discussion.</w:t>
      </w:r>
    </w:p>
    <w:p w14:paraId="72263F50" w14:textId="77777777" w:rsidR="00B601FD" w:rsidRDefault="00B601FD" w:rsidP="00B601FD">
      <w:pPr>
        <w:spacing w:after="0" w:line="240" w:lineRule="auto"/>
        <w:rPr>
          <w:b/>
        </w:rPr>
      </w:pPr>
    </w:p>
    <w:p w14:paraId="4057C644" w14:textId="77777777" w:rsidR="00AD2286" w:rsidRPr="00B601FD" w:rsidRDefault="00AD2286" w:rsidP="00A83376">
      <w:pPr>
        <w:spacing w:before="120" w:after="60" w:line="240" w:lineRule="auto"/>
        <w:rPr>
          <w:b/>
        </w:rPr>
      </w:pPr>
      <w:r w:rsidRPr="00B601FD">
        <w:rPr>
          <w:b/>
        </w:rPr>
        <w:t xml:space="preserve">Op-Ed </w:t>
      </w:r>
    </w:p>
    <w:p w14:paraId="025DEF41" w14:textId="77777777" w:rsidR="009558E9" w:rsidRDefault="009558E9" w:rsidP="00B601FD">
      <w:pPr>
        <w:spacing w:after="0" w:line="240" w:lineRule="auto"/>
      </w:pPr>
      <w:r>
        <w:t>The edited version, slightly altered from the version posted to th</w:t>
      </w:r>
      <w:r w:rsidR="0043427F">
        <w:t xml:space="preserve">e </w:t>
      </w:r>
      <w:r w:rsidR="00481789">
        <w:t>SRRTTF</w:t>
      </w:r>
      <w:r w:rsidR="0043427F">
        <w:t xml:space="preserve"> website one week prior to the meeting, </w:t>
      </w:r>
      <w:r>
        <w:t xml:space="preserve">of the OP-Ed for the Spokesman Review was presented to the group. </w:t>
      </w:r>
    </w:p>
    <w:p w14:paraId="68B04E34" w14:textId="77777777" w:rsidR="00B601FD" w:rsidRDefault="00B601FD" w:rsidP="00B601FD">
      <w:pPr>
        <w:spacing w:after="0" w:line="240" w:lineRule="auto"/>
      </w:pPr>
    </w:p>
    <w:p w14:paraId="4EB50692" w14:textId="6C81A7C4" w:rsidR="0043427F" w:rsidRDefault="00A83376" w:rsidP="00B601FD">
      <w:pPr>
        <w:spacing w:after="0" w:line="240" w:lineRule="auto"/>
      </w:pPr>
      <w:r>
        <w:t>The Task Force made s</w:t>
      </w:r>
      <w:r w:rsidR="0043427F">
        <w:t>everal minor changes to the article. There was some discussion ab</w:t>
      </w:r>
      <w:r>
        <w:t>out the fact that the Spokesman-</w:t>
      </w:r>
      <w:r w:rsidR="0043427F">
        <w:t>Review would probably edit/shorten the article. Some changes could be made (like putting the SRRTTF members in a by-line at the end)</w:t>
      </w:r>
      <w:r w:rsidR="00B601FD">
        <w:t xml:space="preserve">. </w:t>
      </w:r>
    </w:p>
    <w:p w14:paraId="11C9EC2E" w14:textId="77777777" w:rsidR="00B601FD" w:rsidRDefault="00B601FD" w:rsidP="00B601FD">
      <w:pPr>
        <w:spacing w:after="0" w:line="240" w:lineRule="auto"/>
      </w:pPr>
    </w:p>
    <w:p w14:paraId="0A764BB9" w14:textId="1B9D9C78" w:rsidR="0043427F" w:rsidRDefault="0043427F" w:rsidP="00B601FD">
      <w:pPr>
        <w:spacing w:after="0" w:line="240" w:lineRule="auto"/>
      </w:pPr>
      <w:r>
        <w:t xml:space="preserve">Decision: SRRTTF approved the article with corrections. Doug </w:t>
      </w:r>
      <w:r w:rsidR="00A83376">
        <w:t>Krapas will work with the Spokesman-</w:t>
      </w:r>
      <w:r>
        <w:t>Review with respect to publication, which may include editi</w:t>
      </w:r>
      <w:r w:rsidR="00A83376">
        <w:t>ng by the newspaper. (UPDATE 10/</w:t>
      </w:r>
      <w:r>
        <w:t>6</w:t>
      </w:r>
      <w:r w:rsidR="00A83376">
        <w:t>/</w:t>
      </w:r>
      <w:r>
        <w:t xml:space="preserve">14, Doug Krapas suggested that the article be submitted a member of the </w:t>
      </w:r>
      <w:r w:rsidR="00A83376">
        <w:t xml:space="preserve">Task Force </w:t>
      </w:r>
      <w:r>
        <w:t>and not by his firm</w:t>
      </w:r>
      <w:r w:rsidR="00A83376">
        <w:t>,</w:t>
      </w:r>
      <w:r>
        <w:t xml:space="preserve"> as publishers may have concerns about letters submitted by PR firms</w:t>
      </w:r>
      <w:r w:rsidR="00A83376">
        <w:t>.</w:t>
      </w:r>
      <w:r>
        <w:t>)</w:t>
      </w:r>
    </w:p>
    <w:p w14:paraId="7B9F58EA" w14:textId="77777777" w:rsidR="00B601FD" w:rsidRDefault="00B601FD" w:rsidP="00B601FD">
      <w:pPr>
        <w:spacing w:after="0" w:line="240" w:lineRule="auto"/>
        <w:rPr>
          <w:b/>
        </w:rPr>
      </w:pPr>
    </w:p>
    <w:p w14:paraId="2B22F9A0" w14:textId="77777777" w:rsidR="00AD2286" w:rsidRPr="00B601FD" w:rsidRDefault="00AD2286" w:rsidP="00A83376">
      <w:pPr>
        <w:spacing w:before="120" w:after="60" w:line="240" w:lineRule="auto"/>
        <w:rPr>
          <w:b/>
        </w:rPr>
      </w:pPr>
      <w:r w:rsidRPr="00B601FD">
        <w:rPr>
          <w:b/>
        </w:rPr>
        <w:t>Events Outreach and Funding</w:t>
      </w:r>
    </w:p>
    <w:p w14:paraId="663A7CE2" w14:textId="77777777" w:rsidR="00654418" w:rsidRDefault="00654418" w:rsidP="00B601FD">
      <w:pPr>
        <w:tabs>
          <w:tab w:val="left" w:pos="1884"/>
        </w:tabs>
        <w:spacing w:after="0" w:line="240" w:lineRule="auto"/>
      </w:pPr>
      <w:r w:rsidRPr="00654418">
        <w:t>Adriane Borgias gave</w:t>
      </w:r>
      <w:r w:rsidR="002615B6">
        <w:t xml:space="preserve"> a presentation</w:t>
      </w:r>
      <w:r w:rsidRPr="00654418">
        <w:t xml:space="preserve"> at the Site Hazard Assessment Meeting and also the Sewer and Water District Association meeting.</w:t>
      </w:r>
    </w:p>
    <w:p w14:paraId="6CD5D984" w14:textId="77777777" w:rsidR="00B601FD" w:rsidRDefault="00B601FD" w:rsidP="00B601FD">
      <w:pPr>
        <w:tabs>
          <w:tab w:val="left" w:pos="1884"/>
        </w:tabs>
        <w:spacing w:after="0" w:line="240" w:lineRule="auto"/>
      </w:pPr>
    </w:p>
    <w:p w14:paraId="6306A0FA" w14:textId="77777777" w:rsidR="002A7BD3" w:rsidRDefault="00654418" w:rsidP="00B601FD">
      <w:pPr>
        <w:tabs>
          <w:tab w:val="left" w:pos="1884"/>
        </w:tabs>
        <w:spacing w:after="0" w:line="240" w:lineRule="auto"/>
      </w:pPr>
      <w:r w:rsidRPr="00654418">
        <w:t>The Columbia River Toxics Working Group, which is primarily a policy working group, is holding a meeting on October 23, to be at the Water Resources Center. Someone from the County will attend and other members of the SRRTTF are invited. Adriane Borgias will update the group on the sampling activities that are happening along the river. If SRRTTF members want to give a presentation or be on t</w:t>
      </w:r>
      <w:r>
        <w:t xml:space="preserve">he agenda, contact Adriane Borgias ASAP </w:t>
      </w:r>
      <w:r w:rsidRPr="00654418">
        <w:t>as the agenda is being put together.</w:t>
      </w:r>
    </w:p>
    <w:p w14:paraId="105A72C3" w14:textId="77777777" w:rsidR="00B601FD" w:rsidRDefault="00B601FD" w:rsidP="00B601FD">
      <w:pPr>
        <w:spacing w:after="0" w:line="240" w:lineRule="auto"/>
        <w:rPr>
          <w:i/>
        </w:rPr>
      </w:pPr>
    </w:p>
    <w:p w14:paraId="78F15171" w14:textId="592E468D" w:rsidR="00BD2FF2" w:rsidRDefault="00A83376" w:rsidP="00B601FD">
      <w:pPr>
        <w:spacing w:after="0" w:line="240" w:lineRule="auto"/>
        <w:rPr>
          <w:i/>
        </w:rPr>
      </w:pPr>
      <w:r>
        <w:rPr>
          <w:i/>
        </w:rPr>
        <w:lastRenderedPageBreak/>
        <w:t>Communication Strategy</w:t>
      </w:r>
    </w:p>
    <w:p w14:paraId="5CCE5B81" w14:textId="77A178FA" w:rsidR="002615B6" w:rsidRPr="00B601FD" w:rsidRDefault="00F15CFD" w:rsidP="00B601FD">
      <w:pPr>
        <w:spacing w:after="0" w:line="240" w:lineRule="auto"/>
        <w:rPr>
          <w:rFonts w:asciiTheme="minorHAnsi" w:hAnsiTheme="minorHAnsi"/>
        </w:rPr>
      </w:pPr>
      <w:r>
        <w:t>C</w:t>
      </w:r>
      <w:r w:rsidRPr="002615B6">
        <w:rPr>
          <w:rFonts w:asciiTheme="minorHAnsi" w:hAnsiTheme="minorHAnsi"/>
        </w:rPr>
        <w:t xml:space="preserve">hris </w:t>
      </w:r>
      <w:r w:rsidR="00005830" w:rsidRPr="002615B6">
        <w:rPr>
          <w:rFonts w:asciiTheme="minorHAnsi" w:hAnsiTheme="minorHAnsi"/>
        </w:rPr>
        <w:t>discussed the proposal from the TTWG work group</w:t>
      </w:r>
      <w:r w:rsidR="009F0BDE" w:rsidRPr="002615B6">
        <w:rPr>
          <w:rFonts w:asciiTheme="minorHAnsi" w:hAnsiTheme="minorHAnsi"/>
        </w:rPr>
        <w:t xml:space="preserve"> to reform the communications work group</w:t>
      </w:r>
      <w:r w:rsidR="00B601FD">
        <w:rPr>
          <w:rFonts w:asciiTheme="minorHAnsi" w:hAnsiTheme="minorHAnsi"/>
        </w:rPr>
        <w:t xml:space="preserve">. </w:t>
      </w:r>
      <w:r w:rsidR="002615B6" w:rsidRPr="002615B6">
        <w:rPr>
          <w:rFonts w:asciiTheme="minorHAnsi" w:hAnsiTheme="minorHAnsi" w:cs="Calibri,Italic"/>
          <w:iCs/>
        </w:rPr>
        <w:t xml:space="preserve">The </w:t>
      </w:r>
      <w:r w:rsidR="00A83376">
        <w:t xml:space="preserve">Task Force </w:t>
      </w:r>
      <w:r w:rsidR="002615B6" w:rsidRPr="002615B6">
        <w:rPr>
          <w:rFonts w:asciiTheme="minorHAnsi" w:hAnsiTheme="minorHAnsi" w:cs="Calibri,Italic"/>
          <w:iCs/>
        </w:rPr>
        <w:t>discussed</w:t>
      </w:r>
      <w:r w:rsidR="002615B6">
        <w:rPr>
          <w:rFonts w:asciiTheme="minorHAnsi" w:hAnsiTheme="minorHAnsi" w:cs="Calibri,Italic"/>
          <w:iCs/>
        </w:rPr>
        <w:t xml:space="preserve"> </w:t>
      </w:r>
      <w:r w:rsidR="002615B6" w:rsidRPr="002615B6">
        <w:rPr>
          <w:rFonts w:asciiTheme="minorHAnsi" w:hAnsiTheme="minorHAnsi" w:cs="Calibri,Italic"/>
          <w:iCs/>
        </w:rPr>
        <w:t xml:space="preserve">the concept and </w:t>
      </w:r>
      <w:r w:rsidR="00A83376">
        <w:rPr>
          <w:rFonts w:asciiTheme="minorHAnsi" w:hAnsiTheme="minorHAnsi" w:cs="Calibri,Italic"/>
          <w:iCs/>
        </w:rPr>
        <w:t xml:space="preserve">expressed </w:t>
      </w:r>
      <w:r w:rsidR="002615B6" w:rsidRPr="002615B6">
        <w:rPr>
          <w:rFonts w:asciiTheme="minorHAnsi" w:hAnsiTheme="minorHAnsi" w:cs="Calibri,Italic"/>
          <w:iCs/>
        </w:rPr>
        <w:t>concern about funding being included in the list of tasks</w:t>
      </w:r>
      <w:r w:rsidR="002615B6">
        <w:rPr>
          <w:rFonts w:asciiTheme="minorHAnsi" w:hAnsiTheme="minorHAnsi" w:cs="Calibri,Italic"/>
          <w:iCs/>
        </w:rPr>
        <w:t xml:space="preserve"> for a communication work group</w:t>
      </w:r>
      <w:r w:rsidR="002615B6" w:rsidRPr="002615B6">
        <w:rPr>
          <w:rFonts w:asciiTheme="minorHAnsi" w:hAnsiTheme="minorHAnsi" w:cs="Calibri,Italic"/>
          <w:iCs/>
        </w:rPr>
        <w:t xml:space="preserve">. </w:t>
      </w:r>
      <w:r w:rsidR="002615B6">
        <w:rPr>
          <w:rFonts w:asciiTheme="minorHAnsi" w:hAnsiTheme="minorHAnsi" w:cs="Calibri,Italic"/>
          <w:iCs/>
        </w:rPr>
        <w:t xml:space="preserve">There was also concern over adding another work group to the already busy schedule of </w:t>
      </w:r>
      <w:r w:rsidR="00A83376">
        <w:t xml:space="preserve">Task Force </w:t>
      </w:r>
      <w:r w:rsidR="002615B6">
        <w:rPr>
          <w:rFonts w:asciiTheme="minorHAnsi" w:hAnsiTheme="minorHAnsi" w:cs="Calibri,Italic"/>
          <w:iCs/>
        </w:rPr>
        <w:t>members. P</w:t>
      </w:r>
      <w:r w:rsidR="00A83376">
        <w:rPr>
          <w:rFonts w:asciiTheme="minorHAnsi" w:hAnsiTheme="minorHAnsi" w:cs="Calibri,Italic"/>
          <w:iCs/>
        </w:rPr>
        <w:t xml:space="preserve">ublic </w:t>
      </w:r>
      <w:r w:rsidR="002615B6" w:rsidRPr="002615B6">
        <w:rPr>
          <w:rFonts w:asciiTheme="minorHAnsi" w:hAnsiTheme="minorHAnsi" w:cs="Calibri,Italic"/>
          <w:iCs/>
        </w:rPr>
        <w:t>I</w:t>
      </w:r>
      <w:r w:rsidR="00A83376">
        <w:rPr>
          <w:rFonts w:asciiTheme="minorHAnsi" w:hAnsiTheme="minorHAnsi" w:cs="Calibri,Italic"/>
          <w:iCs/>
        </w:rPr>
        <w:t xml:space="preserve">nformation </w:t>
      </w:r>
      <w:r w:rsidR="002615B6" w:rsidRPr="002615B6">
        <w:rPr>
          <w:rFonts w:asciiTheme="minorHAnsi" w:hAnsiTheme="minorHAnsi" w:cs="Calibri,Italic"/>
          <w:iCs/>
        </w:rPr>
        <w:t>O</w:t>
      </w:r>
      <w:r w:rsidR="00A83376">
        <w:rPr>
          <w:rFonts w:asciiTheme="minorHAnsi" w:hAnsiTheme="minorHAnsi" w:cs="Calibri,Italic"/>
          <w:iCs/>
        </w:rPr>
        <w:t>fficers (PIO</w:t>
      </w:r>
      <w:r w:rsidR="002615B6" w:rsidRPr="002615B6">
        <w:rPr>
          <w:rFonts w:asciiTheme="minorHAnsi" w:hAnsiTheme="minorHAnsi" w:cs="Calibri,Italic"/>
          <w:iCs/>
        </w:rPr>
        <w:t>s</w:t>
      </w:r>
      <w:r w:rsidR="00A83376">
        <w:rPr>
          <w:rFonts w:asciiTheme="minorHAnsi" w:hAnsiTheme="minorHAnsi" w:cs="Calibri,Italic"/>
          <w:iCs/>
        </w:rPr>
        <w:t>)</w:t>
      </w:r>
      <w:r w:rsidR="002615B6" w:rsidRPr="002615B6">
        <w:rPr>
          <w:rFonts w:asciiTheme="minorHAnsi" w:hAnsiTheme="minorHAnsi" w:cs="Calibri,Italic"/>
          <w:iCs/>
        </w:rPr>
        <w:t xml:space="preserve"> and the experts </w:t>
      </w:r>
      <w:r w:rsidR="002615B6">
        <w:rPr>
          <w:rFonts w:asciiTheme="minorHAnsi" w:hAnsiTheme="minorHAnsi" w:cs="Calibri,Italic"/>
          <w:iCs/>
        </w:rPr>
        <w:t xml:space="preserve">could provide the needed outreach </w:t>
      </w:r>
      <w:r w:rsidR="002615B6" w:rsidRPr="002615B6">
        <w:rPr>
          <w:rFonts w:asciiTheme="minorHAnsi" w:hAnsiTheme="minorHAnsi" w:cs="Calibri,Italic"/>
          <w:iCs/>
        </w:rPr>
        <w:t xml:space="preserve">communications strategy. The </w:t>
      </w:r>
      <w:r w:rsidR="00A83376">
        <w:t xml:space="preserve">Task Force </w:t>
      </w:r>
      <w:r w:rsidR="002615B6" w:rsidRPr="002615B6">
        <w:rPr>
          <w:rFonts w:asciiTheme="minorHAnsi" w:hAnsiTheme="minorHAnsi" w:cs="Calibri,Italic"/>
          <w:iCs/>
        </w:rPr>
        <w:t xml:space="preserve">needs to provide guidance to the PIOs. </w:t>
      </w:r>
    </w:p>
    <w:p w14:paraId="73993CA7" w14:textId="77777777" w:rsidR="002615B6" w:rsidRPr="002615B6" w:rsidRDefault="002615B6" w:rsidP="00B601FD">
      <w:pPr>
        <w:autoSpaceDE w:val="0"/>
        <w:autoSpaceDN w:val="0"/>
        <w:adjustRightInd w:val="0"/>
        <w:spacing w:after="0" w:line="240" w:lineRule="auto"/>
        <w:rPr>
          <w:rFonts w:asciiTheme="minorHAnsi" w:hAnsiTheme="minorHAnsi" w:cs="Calibri,Italic"/>
          <w:iCs/>
        </w:rPr>
      </w:pPr>
    </w:p>
    <w:p w14:paraId="58B8B5DF" w14:textId="77777777" w:rsidR="002615B6" w:rsidRPr="002615B6" w:rsidRDefault="002615B6" w:rsidP="00B601FD">
      <w:pPr>
        <w:autoSpaceDE w:val="0"/>
        <w:autoSpaceDN w:val="0"/>
        <w:adjustRightInd w:val="0"/>
        <w:spacing w:after="0" w:line="240" w:lineRule="auto"/>
        <w:rPr>
          <w:rFonts w:asciiTheme="minorHAnsi" w:hAnsiTheme="minorHAnsi" w:cs="Calibri,Italic"/>
          <w:iCs/>
        </w:rPr>
      </w:pPr>
      <w:r w:rsidRPr="002615B6">
        <w:rPr>
          <w:rFonts w:asciiTheme="minorHAnsi" w:hAnsiTheme="minorHAnsi" w:cs="Calibri,Italic"/>
          <w:iCs/>
        </w:rPr>
        <w:t>Kara Whitman has a student intern that can assist with developing some materials to</w:t>
      </w:r>
      <w:r>
        <w:rPr>
          <w:rFonts w:asciiTheme="minorHAnsi" w:hAnsiTheme="minorHAnsi" w:cs="Calibri,Italic"/>
          <w:iCs/>
        </w:rPr>
        <w:t xml:space="preserve"> post and/or</w:t>
      </w:r>
      <w:r w:rsidRPr="002615B6">
        <w:rPr>
          <w:rFonts w:asciiTheme="minorHAnsi" w:hAnsiTheme="minorHAnsi" w:cs="Calibri,Italic"/>
          <w:iCs/>
        </w:rPr>
        <w:t xml:space="preserve"> hand out at the November 2014 Spokane River Forum meeting.</w:t>
      </w:r>
    </w:p>
    <w:p w14:paraId="412618BC" w14:textId="77777777" w:rsidR="002615B6" w:rsidRPr="002615B6" w:rsidRDefault="002615B6" w:rsidP="00B601FD">
      <w:pPr>
        <w:autoSpaceDE w:val="0"/>
        <w:autoSpaceDN w:val="0"/>
        <w:adjustRightInd w:val="0"/>
        <w:spacing w:after="0" w:line="240" w:lineRule="auto"/>
        <w:rPr>
          <w:rFonts w:asciiTheme="minorHAnsi" w:hAnsiTheme="minorHAnsi" w:cs="Calibri,Italic"/>
          <w:iCs/>
        </w:rPr>
      </w:pPr>
    </w:p>
    <w:p w14:paraId="6D8FAD46" w14:textId="581D4CAA" w:rsidR="002615B6" w:rsidRPr="002615B6" w:rsidRDefault="002615B6" w:rsidP="00B601FD">
      <w:pPr>
        <w:autoSpaceDE w:val="0"/>
        <w:autoSpaceDN w:val="0"/>
        <w:adjustRightInd w:val="0"/>
        <w:spacing w:after="0" w:line="240" w:lineRule="auto"/>
        <w:rPr>
          <w:rFonts w:asciiTheme="minorHAnsi" w:hAnsiTheme="minorHAnsi" w:cs="Calibri,Italic"/>
          <w:iCs/>
        </w:rPr>
      </w:pPr>
      <w:r w:rsidRPr="002615B6">
        <w:rPr>
          <w:rFonts w:asciiTheme="minorHAnsi" w:hAnsiTheme="minorHAnsi" w:cs="Calibri,Italic"/>
          <w:iCs/>
        </w:rPr>
        <w:t xml:space="preserve">Other discussion items </w:t>
      </w:r>
      <w:r w:rsidR="00A83376">
        <w:rPr>
          <w:rFonts w:asciiTheme="minorHAnsi" w:hAnsiTheme="minorHAnsi" w:cs="Calibri,Italic"/>
          <w:iCs/>
        </w:rPr>
        <w:t xml:space="preserve">and suggestions </w:t>
      </w:r>
      <w:r w:rsidRPr="002615B6">
        <w:rPr>
          <w:rFonts w:asciiTheme="minorHAnsi" w:hAnsiTheme="minorHAnsi" w:cs="Calibri,Italic"/>
          <w:iCs/>
        </w:rPr>
        <w:t>brought up by</w:t>
      </w:r>
      <w:r w:rsidR="00A83376" w:rsidRPr="00A83376">
        <w:t xml:space="preserve"> </w:t>
      </w:r>
      <w:r w:rsidR="00A83376">
        <w:t>Task Force</w:t>
      </w:r>
      <w:r w:rsidRPr="002615B6">
        <w:rPr>
          <w:rFonts w:asciiTheme="minorHAnsi" w:hAnsiTheme="minorHAnsi" w:cs="Calibri,Italic"/>
          <w:iCs/>
        </w:rPr>
        <w:t>:</w:t>
      </w:r>
    </w:p>
    <w:p w14:paraId="3BF7537C" w14:textId="1E30FB16" w:rsidR="002615B6" w:rsidRPr="002615B6" w:rsidRDefault="002615B6" w:rsidP="00B601FD">
      <w:pPr>
        <w:pStyle w:val="ListParagraph"/>
        <w:numPr>
          <w:ilvl w:val="0"/>
          <w:numId w:val="31"/>
        </w:numPr>
        <w:autoSpaceDE w:val="0"/>
        <w:autoSpaceDN w:val="0"/>
        <w:adjustRightInd w:val="0"/>
        <w:spacing w:after="0" w:line="240" w:lineRule="auto"/>
        <w:rPr>
          <w:rFonts w:asciiTheme="minorHAnsi" w:hAnsiTheme="minorHAnsi" w:cs="Calibri,Italic"/>
          <w:iCs/>
        </w:rPr>
      </w:pPr>
      <w:r>
        <w:t>The PIOs need to be involved in the process for some time to get the “flavor”</w:t>
      </w:r>
      <w:r w:rsidR="00A83376">
        <w:t xml:space="preserve"> of the type of outreach needed</w:t>
      </w:r>
      <w:r>
        <w:t xml:space="preserve"> </w:t>
      </w:r>
      <w:r w:rsidR="00A83376">
        <w:t xml:space="preserve">(though the Inland Empire Paper </w:t>
      </w:r>
      <w:r>
        <w:t xml:space="preserve">PIO is fairly versed in </w:t>
      </w:r>
      <w:r w:rsidR="00A83376">
        <w:t>Task Force</w:t>
      </w:r>
      <w:r>
        <w:t xml:space="preserve"> activities</w:t>
      </w:r>
      <w:r w:rsidR="00A83376">
        <w:t>)</w:t>
      </w:r>
      <w:r>
        <w:t>.</w:t>
      </w:r>
    </w:p>
    <w:p w14:paraId="1A4A9C08" w14:textId="77777777" w:rsidR="002615B6" w:rsidRPr="002615B6" w:rsidRDefault="002615B6" w:rsidP="00B601FD">
      <w:pPr>
        <w:pStyle w:val="ListParagraph"/>
        <w:numPr>
          <w:ilvl w:val="0"/>
          <w:numId w:val="31"/>
        </w:numPr>
        <w:autoSpaceDE w:val="0"/>
        <w:autoSpaceDN w:val="0"/>
        <w:adjustRightInd w:val="0"/>
        <w:spacing w:after="0" w:line="240" w:lineRule="auto"/>
        <w:rPr>
          <w:rFonts w:asciiTheme="minorHAnsi" w:hAnsiTheme="minorHAnsi" w:cs="Calibri,Italic"/>
          <w:iCs/>
        </w:rPr>
      </w:pPr>
      <w:r>
        <w:t>Big picture strategy. Avoid emergency communications.</w:t>
      </w:r>
    </w:p>
    <w:p w14:paraId="3B50AC88" w14:textId="080C9060" w:rsidR="002615B6" w:rsidRPr="002615B6" w:rsidRDefault="00481789" w:rsidP="00B601FD">
      <w:pPr>
        <w:pStyle w:val="ListParagraph"/>
        <w:numPr>
          <w:ilvl w:val="0"/>
          <w:numId w:val="31"/>
        </w:numPr>
        <w:autoSpaceDE w:val="0"/>
        <w:autoSpaceDN w:val="0"/>
        <w:adjustRightInd w:val="0"/>
        <w:spacing w:after="0" w:line="240" w:lineRule="auto"/>
        <w:rPr>
          <w:rFonts w:asciiTheme="minorHAnsi" w:hAnsiTheme="minorHAnsi" w:cs="Calibri,Italic"/>
          <w:iCs/>
        </w:rPr>
      </w:pPr>
      <w:r>
        <w:t>If</w:t>
      </w:r>
      <w:r w:rsidR="002615B6">
        <w:t xml:space="preserve"> we remove the goal of “respond to funding and </w:t>
      </w:r>
      <w:r w:rsidR="00A83376">
        <w:t>communications opportunities…” w</w:t>
      </w:r>
      <w:r w:rsidR="002615B6">
        <w:t>e could put together a small team of representatives to get PIOs working on this.</w:t>
      </w:r>
    </w:p>
    <w:p w14:paraId="20F7BE24" w14:textId="08289ED4" w:rsidR="002615B6" w:rsidRPr="002615B6" w:rsidRDefault="002615B6" w:rsidP="00B601FD">
      <w:pPr>
        <w:pStyle w:val="ListParagraph"/>
        <w:numPr>
          <w:ilvl w:val="0"/>
          <w:numId w:val="31"/>
        </w:numPr>
        <w:autoSpaceDE w:val="0"/>
        <w:autoSpaceDN w:val="0"/>
        <w:adjustRightInd w:val="0"/>
        <w:spacing w:after="0" w:line="240" w:lineRule="auto"/>
        <w:rPr>
          <w:rFonts w:asciiTheme="minorHAnsi" w:hAnsiTheme="minorHAnsi" w:cs="Calibri,Italic"/>
          <w:iCs/>
        </w:rPr>
      </w:pPr>
      <w:r>
        <w:t>Ruckelshaus Contract: what is their role in this activity? Chris: the Ruckelshaus does have a role in this as part of its scope of work</w:t>
      </w:r>
      <w:r w:rsidR="00A83376">
        <w:t>.</w:t>
      </w:r>
    </w:p>
    <w:p w14:paraId="5B4631A9" w14:textId="77777777" w:rsidR="002615B6" w:rsidRDefault="002615B6" w:rsidP="00B601FD">
      <w:pPr>
        <w:pStyle w:val="ListParagraph"/>
        <w:numPr>
          <w:ilvl w:val="0"/>
          <w:numId w:val="31"/>
        </w:numPr>
        <w:spacing w:after="0" w:line="240" w:lineRule="auto"/>
      </w:pPr>
      <w:r>
        <w:t xml:space="preserve">Have PIOs attend the next meeting with the purpose of having them hear what the task force needs. </w:t>
      </w:r>
    </w:p>
    <w:p w14:paraId="2EEBFE48" w14:textId="77777777" w:rsidR="002615B6" w:rsidRPr="002615B6" w:rsidRDefault="002615B6" w:rsidP="00B601FD">
      <w:pPr>
        <w:pStyle w:val="ListParagraph"/>
        <w:autoSpaceDE w:val="0"/>
        <w:autoSpaceDN w:val="0"/>
        <w:adjustRightInd w:val="0"/>
        <w:spacing w:after="0" w:line="240" w:lineRule="auto"/>
        <w:rPr>
          <w:rFonts w:asciiTheme="minorHAnsi" w:hAnsiTheme="minorHAnsi" w:cs="Calibri,Italic"/>
          <w:iCs/>
        </w:rPr>
      </w:pPr>
    </w:p>
    <w:p w14:paraId="2E86DA7D" w14:textId="77777777" w:rsidR="002615B6" w:rsidRPr="002615B6" w:rsidRDefault="002615B6" w:rsidP="00B601FD">
      <w:pPr>
        <w:autoSpaceDE w:val="0"/>
        <w:autoSpaceDN w:val="0"/>
        <w:adjustRightInd w:val="0"/>
        <w:spacing w:after="0" w:line="240" w:lineRule="auto"/>
        <w:rPr>
          <w:rFonts w:asciiTheme="minorHAnsi" w:hAnsiTheme="minorHAnsi" w:cs="Calibri,Italic"/>
          <w:iCs/>
        </w:rPr>
      </w:pPr>
      <w:r w:rsidRPr="002615B6">
        <w:rPr>
          <w:rFonts w:asciiTheme="minorHAnsi" w:hAnsiTheme="minorHAnsi" w:cs="Calibri,Italic"/>
          <w:iCs/>
        </w:rPr>
        <w:t>DECISION</w:t>
      </w:r>
      <w:r>
        <w:rPr>
          <w:rFonts w:asciiTheme="minorHAnsi" w:hAnsiTheme="minorHAnsi" w:cs="Calibri,Italic"/>
          <w:iCs/>
        </w:rPr>
        <w:t>:</w:t>
      </w:r>
      <w:r w:rsidRPr="002615B6">
        <w:rPr>
          <w:rFonts w:asciiTheme="minorHAnsi" w:hAnsiTheme="minorHAnsi" w:cs="Calibri,Italic"/>
          <w:iCs/>
        </w:rPr>
        <w:t xml:space="preserve"> The decision to reform the communication work group will be tabled at this time until ACE addresses the staffing question and reports back to the SRRTTF. </w:t>
      </w:r>
    </w:p>
    <w:p w14:paraId="0678A815" w14:textId="77777777" w:rsidR="002615B6" w:rsidRPr="002615B6" w:rsidRDefault="002615B6" w:rsidP="00B601FD">
      <w:pPr>
        <w:autoSpaceDE w:val="0"/>
        <w:autoSpaceDN w:val="0"/>
        <w:adjustRightInd w:val="0"/>
        <w:spacing w:after="0" w:line="240" w:lineRule="auto"/>
        <w:rPr>
          <w:rFonts w:asciiTheme="minorHAnsi" w:hAnsiTheme="minorHAnsi" w:cs="Calibri,Italic"/>
          <w:iCs/>
        </w:rPr>
      </w:pPr>
    </w:p>
    <w:p w14:paraId="5DD4E9B8" w14:textId="77777777" w:rsidR="002615B6" w:rsidRPr="002615B6" w:rsidRDefault="002615B6" w:rsidP="00B601FD">
      <w:pPr>
        <w:autoSpaceDE w:val="0"/>
        <w:autoSpaceDN w:val="0"/>
        <w:adjustRightInd w:val="0"/>
        <w:spacing w:after="0" w:line="240" w:lineRule="auto"/>
        <w:rPr>
          <w:rFonts w:asciiTheme="minorHAnsi" w:hAnsiTheme="minorHAnsi" w:cs="Calibri,Italic"/>
          <w:iCs/>
        </w:rPr>
      </w:pPr>
      <w:r w:rsidRPr="002615B6">
        <w:rPr>
          <w:rFonts w:asciiTheme="minorHAnsi" w:hAnsiTheme="minorHAnsi" w:cs="Calibri,Italic"/>
          <w:iCs/>
        </w:rPr>
        <w:t>ACTION ITEM: The Ruckelshaus Center will review this and see what pieces fit within their contracted scope of work.</w:t>
      </w:r>
    </w:p>
    <w:p w14:paraId="4C172B9C" w14:textId="77777777" w:rsidR="002615B6" w:rsidRPr="002615B6" w:rsidRDefault="002615B6" w:rsidP="00B601FD">
      <w:pPr>
        <w:autoSpaceDE w:val="0"/>
        <w:autoSpaceDN w:val="0"/>
        <w:adjustRightInd w:val="0"/>
        <w:spacing w:after="0" w:line="240" w:lineRule="auto"/>
        <w:rPr>
          <w:rFonts w:asciiTheme="minorHAnsi" w:hAnsiTheme="minorHAnsi" w:cs="Calibri,Italic"/>
          <w:iCs/>
        </w:rPr>
      </w:pPr>
    </w:p>
    <w:p w14:paraId="2FF0CB80" w14:textId="41045666" w:rsidR="002615B6" w:rsidRPr="002615B6" w:rsidRDefault="002615B6" w:rsidP="00B601FD">
      <w:pPr>
        <w:autoSpaceDE w:val="0"/>
        <w:autoSpaceDN w:val="0"/>
        <w:adjustRightInd w:val="0"/>
        <w:spacing w:after="0" w:line="240" w:lineRule="auto"/>
        <w:rPr>
          <w:rFonts w:asciiTheme="minorHAnsi" w:hAnsiTheme="minorHAnsi" w:cs="Calibri,Italic"/>
          <w:iCs/>
        </w:rPr>
      </w:pPr>
      <w:r w:rsidRPr="002615B6">
        <w:rPr>
          <w:rFonts w:asciiTheme="minorHAnsi" w:hAnsiTheme="minorHAnsi" w:cs="Calibri,Italic"/>
          <w:iCs/>
        </w:rPr>
        <w:t xml:space="preserve">ACTION ITEM: Invite the PIOs to the next meeting so they can hear what the TF would like to do then the PIOs can meet and develop documents </w:t>
      </w:r>
      <w:r w:rsidR="00F45F5A">
        <w:rPr>
          <w:rFonts w:asciiTheme="minorHAnsi" w:hAnsiTheme="minorHAnsi" w:cs="Calibri,Italic"/>
          <w:iCs/>
        </w:rPr>
        <w:t>as</w:t>
      </w:r>
      <w:bookmarkStart w:id="0" w:name="_GoBack"/>
      <w:bookmarkEnd w:id="0"/>
      <w:r w:rsidRPr="002615B6">
        <w:rPr>
          <w:rFonts w:asciiTheme="minorHAnsi" w:hAnsiTheme="minorHAnsi" w:cs="Calibri,Italic"/>
          <w:iCs/>
        </w:rPr>
        <w:t xml:space="preserve"> they did before.</w:t>
      </w:r>
    </w:p>
    <w:p w14:paraId="1961EE9B" w14:textId="77777777" w:rsidR="00A83376" w:rsidRDefault="00A83376" w:rsidP="00B601FD">
      <w:pPr>
        <w:spacing w:after="0" w:line="240" w:lineRule="auto"/>
      </w:pPr>
    </w:p>
    <w:p w14:paraId="43BBC072" w14:textId="5D0B5DA4" w:rsidR="003F58C9" w:rsidRDefault="00A83376" w:rsidP="00B601FD">
      <w:pPr>
        <w:spacing w:after="0" w:line="240" w:lineRule="auto"/>
      </w:pPr>
      <w:r>
        <w:t xml:space="preserve">ACTION ITEM: </w:t>
      </w:r>
      <w:r w:rsidR="003F58C9">
        <w:t>Need to get a display ready for the Sp</w:t>
      </w:r>
      <w:r w:rsidR="00362B21">
        <w:t>okane River Forum</w:t>
      </w:r>
    </w:p>
    <w:p w14:paraId="14D2B22E" w14:textId="77777777" w:rsidR="00B601FD" w:rsidRDefault="00B601FD" w:rsidP="00B601FD">
      <w:pPr>
        <w:spacing w:after="0" w:line="240" w:lineRule="auto"/>
        <w:rPr>
          <w:b/>
        </w:rPr>
      </w:pPr>
    </w:p>
    <w:p w14:paraId="0DDC45A6" w14:textId="77777777" w:rsidR="00BD2FF2" w:rsidRPr="002615B6" w:rsidRDefault="00362B21" w:rsidP="00A83376">
      <w:pPr>
        <w:spacing w:before="120" w:after="60" w:line="240" w:lineRule="auto"/>
        <w:rPr>
          <w:b/>
        </w:rPr>
      </w:pPr>
      <w:r w:rsidRPr="002615B6">
        <w:rPr>
          <w:b/>
        </w:rPr>
        <w:t>$</w:t>
      </w:r>
      <w:r w:rsidR="00BD2FF2" w:rsidRPr="002615B6">
        <w:rPr>
          <w:b/>
        </w:rPr>
        <w:t xml:space="preserve">50 million </w:t>
      </w:r>
      <w:r w:rsidR="004B2643" w:rsidRPr="002615B6">
        <w:rPr>
          <w:b/>
        </w:rPr>
        <w:t>C</w:t>
      </w:r>
      <w:r w:rsidR="002615B6">
        <w:rPr>
          <w:b/>
        </w:rPr>
        <w:t>olumbia R</w:t>
      </w:r>
      <w:r w:rsidR="00BD2FF2" w:rsidRPr="002615B6">
        <w:rPr>
          <w:b/>
        </w:rPr>
        <w:t>iver fund</w:t>
      </w:r>
    </w:p>
    <w:p w14:paraId="5668A7C7" w14:textId="4885826A" w:rsidR="003F58C9" w:rsidRDefault="003F58C9" w:rsidP="00B601FD">
      <w:pPr>
        <w:spacing w:after="0" w:line="240" w:lineRule="auto"/>
      </w:pPr>
      <w:r>
        <w:t xml:space="preserve">Mike Peterson, Tom Agnew and Adriane Borgias </w:t>
      </w:r>
      <w:r w:rsidR="002615B6">
        <w:t>drafted a</w:t>
      </w:r>
      <w:r>
        <w:t xml:space="preserve"> letter</w:t>
      </w:r>
      <w:r w:rsidR="002615B6">
        <w:t xml:space="preserve"> of support for the legislation that would provide </w:t>
      </w:r>
      <w:r w:rsidR="00362B21">
        <w:t>$</w:t>
      </w:r>
      <w:r w:rsidR="002615B6">
        <w:t xml:space="preserve">50 million to Columbia River </w:t>
      </w:r>
      <w:r w:rsidR="001459D9">
        <w:t xml:space="preserve">water quality </w:t>
      </w:r>
      <w:r w:rsidR="002615B6">
        <w:t>work</w:t>
      </w:r>
      <w:r w:rsidR="00B601FD">
        <w:t xml:space="preserve">. </w:t>
      </w:r>
      <w:r>
        <w:t xml:space="preserve">Tom explained that the letter is meant to show that the work the </w:t>
      </w:r>
      <w:r w:rsidR="001459D9">
        <w:t xml:space="preserve">Task Force </w:t>
      </w:r>
      <w:r w:rsidR="000B317D">
        <w:t>is doing is groundbreaking and</w:t>
      </w:r>
      <w:r>
        <w:t xml:space="preserve"> connected to the funding opportuni</w:t>
      </w:r>
      <w:r w:rsidR="000B317D">
        <w:t>ty.</w:t>
      </w:r>
    </w:p>
    <w:p w14:paraId="07F95929" w14:textId="77777777" w:rsidR="00B601FD" w:rsidRDefault="00B601FD" w:rsidP="00B601FD">
      <w:pPr>
        <w:autoSpaceDE w:val="0"/>
        <w:autoSpaceDN w:val="0"/>
        <w:adjustRightInd w:val="0"/>
        <w:spacing w:after="0" w:line="240" w:lineRule="auto"/>
        <w:rPr>
          <w:rFonts w:asciiTheme="minorHAnsi" w:hAnsiTheme="minorHAnsi" w:cs="Calibri,Italic"/>
          <w:iCs/>
        </w:rPr>
      </w:pPr>
    </w:p>
    <w:p w14:paraId="03DE2189" w14:textId="596DD6B3" w:rsidR="000B317D" w:rsidRPr="000B317D" w:rsidRDefault="000B317D" w:rsidP="00B601FD">
      <w:pPr>
        <w:autoSpaceDE w:val="0"/>
        <w:autoSpaceDN w:val="0"/>
        <w:adjustRightInd w:val="0"/>
        <w:spacing w:after="0" w:line="240" w:lineRule="auto"/>
        <w:rPr>
          <w:rFonts w:asciiTheme="minorHAnsi" w:hAnsiTheme="minorHAnsi" w:cs="Calibri,Italic"/>
          <w:iCs/>
        </w:rPr>
      </w:pPr>
      <w:r w:rsidRPr="000B317D">
        <w:rPr>
          <w:rFonts w:asciiTheme="minorHAnsi" w:hAnsiTheme="minorHAnsi" w:cs="Calibri,Italic"/>
          <w:iCs/>
        </w:rPr>
        <w:t xml:space="preserve">Decision: The </w:t>
      </w:r>
      <w:r w:rsidR="001459D9">
        <w:t xml:space="preserve">Task Force approved the </w:t>
      </w:r>
      <w:r w:rsidRPr="000B317D">
        <w:rPr>
          <w:rFonts w:asciiTheme="minorHAnsi" w:hAnsiTheme="minorHAnsi" w:cs="Calibri,Italic"/>
          <w:iCs/>
        </w:rPr>
        <w:t xml:space="preserve">letter. Bud Leber as Chair of the TTWG </w:t>
      </w:r>
      <w:r w:rsidR="001459D9">
        <w:rPr>
          <w:rFonts w:asciiTheme="minorHAnsi" w:hAnsiTheme="minorHAnsi" w:cs="Calibri,Italic"/>
          <w:iCs/>
        </w:rPr>
        <w:t xml:space="preserve">will </w:t>
      </w:r>
      <w:r w:rsidRPr="000B317D">
        <w:rPr>
          <w:rFonts w:asciiTheme="minorHAnsi" w:hAnsiTheme="minorHAnsi" w:cs="Calibri,Italic"/>
          <w:iCs/>
        </w:rPr>
        <w:t>sign and send on SRRTTF letterhead</w:t>
      </w:r>
      <w:r w:rsidR="001459D9">
        <w:rPr>
          <w:rFonts w:asciiTheme="minorHAnsi" w:hAnsiTheme="minorHAnsi" w:cs="Calibri,Italic"/>
          <w:iCs/>
        </w:rPr>
        <w:t xml:space="preserve"> and</w:t>
      </w:r>
      <w:r w:rsidRPr="000B317D">
        <w:rPr>
          <w:rFonts w:asciiTheme="minorHAnsi" w:hAnsiTheme="minorHAnsi" w:cs="Calibri,Italic"/>
          <w:iCs/>
        </w:rPr>
        <w:t xml:space="preserve"> include date and page number on each page.</w:t>
      </w:r>
      <w:r w:rsidR="001459D9" w:rsidRPr="001459D9">
        <w:rPr>
          <w:rFonts w:asciiTheme="minorHAnsi" w:hAnsiTheme="minorHAnsi" w:cs="Calibri,Italic"/>
          <w:iCs/>
        </w:rPr>
        <w:t xml:space="preserve"> </w:t>
      </w:r>
      <w:r w:rsidR="001459D9" w:rsidRPr="000B317D">
        <w:rPr>
          <w:rFonts w:asciiTheme="minorHAnsi" w:hAnsiTheme="minorHAnsi" w:cs="Calibri,Italic"/>
          <w:iCs/>
        </w:rPr>
        <w:t>(COMPLETE)</w:t>
      </w:r>
    </w:p>
    <w:p w14:paraId="7BB93B9D" w14:textId="77777777" w:rsidR="000B317D" w:rsidRPr="000B317D" w:rsidRDefault="000B317D" w:rsidP="00B601FD">
      <w:pPr>
        <w:autoSpaceDE w:val="0"/>
        <w:autoSpaceDN w:val="0"/>
        <w:adjustRightInd w:val="0"/>
        <w:spacing w:after="0" w:line="240" w:lineRule="auto"/>
        <w:rPr>
          <w:rFonts w:asciiTheme="minorHAnsi" w:hAnsiTheme="minorHAnsi" w:cs="Calibri,Italic"/>
          <w:iCs/>
        </w:rPr>
      </w:pPr>
    </w:p>
    <w:p w14:paraId="0C30F4BE" w14:textId="77777777" w:rsidR="000B317D" w:rsidRPr="000B317D" w:rsidRDefault="000B317D" w:rsidP="00B601FD">
      <w:pPr>
        <w:autoSpaceDE w:val="0"/>
        <w:autoSpaceDN w:val="0"/>
        <w:adjustRightInd w:val="0"/>
        <w:spacing w:after="0" w:line="240" w:lineRule="auto"/>
        <w:rPr>
          <w:rFonts w:asciiTheme="minorHAnsi" w:hAnsiTheme="minorHAnsi" w:cs="Calibri,Italic"/>
          <w:iCs/>
        </w:rPr>
      </w:pPr>
      <w:r w:rsidRPr="000B317D">
        <w:rPr>
          <w:rFonts w:asciiTheme="minorHAnsi" w:hAnsiTheme="minorHAnsi" w:cs="Calibri,Italic"/>
          <w:iCs/>
        </w:rPr>
        <w:t>Action Item: Adriane Borgias to send Word Version and email addresses to Bud Leber. (COMPLETE)</w:t>
      </w:r>
    </w:p>
    <w:p w14:paraId="4D29D67E" w14:textId="77777777" w:rsidR="000B317D" w:rsidRDefault="000B317D" w:rsidP="00B601FD">
      <w:pPr>
        <w:autoSpaceDE w:val="0"/>
        <w:autoSpaceDN w:val="0"/>
        <w:adjustRightInd w:val="0"/>
        <w:spacing w:after="0" w:line="240" w:lineRule="auto"/>
        <w:rPr>
          <w:rFonts w:ascii="Calibri,Italic" w:hAnsi="Calibri,Italic" w:cs="Calibri,Italic"/>
          <w:iCs/>
          <w:color w:val="C0504D" w:themeColor="accent2"/>
        </w:rPr>
      </w:pPr>
    </w:p>
    <w:p w14:paraId="591685D3" w14:textId="1AC6C18F" w:rsidR="000B317D" w:rsidRDefault="003F58C9" w:rsidP="00B601FD">
      <w:pPr>
        <w:spacing w:after="0" w:line="240" w:lineRule="auto"/>
      </w:pPr>
      <w:r>
        <w:t xml:space="preserve">ACTION ITEM: </w:t>
      </w:r>
      <w:r w:rsidR="000B317D">
        <w:t xml:space="preserve">The </w:t>
      </w:r>
      <w:r>
        <w:t>Ruckelshaus</w:t>
      </w:r>
      <w:r w:rsidR="000B317D">
        <w:t xml:space="preserve"> Center</w:t>
      </w:r>
      <w:r>
        <w:t xml:space="preserve"> will pull together an electronic </w:t>
      </w:r>
      <w:r w:rsidR="00B6249F">
        <w:t xml:space="preserve">template </w:t>
      </w:r>
      <w:r w:rsidR="000B317D">
        <w:t xml:space="preserve">with signatures of all voting members of the </w:t>
      </w:r>
      <w:r w:rsidR="001459D9">
        <w:t xml:space="preserve">Task Force </w:t>
      </w:r>
      <w:r w:rsidR="00B6249F">
        <w:t>for future use.</w:t>
      </w:r>
      <w:r w:rsidR="000B317D">
        <w:t xml:space="preserve"> </w:t>
      </w:r>
    </w:p>
    <w:p w14:paraId="643B5E52" w14:textId="77777777" w:rsidR="00B601FD" w:rsidRDefault="00B601FD" w:rsidP="00B601FD">
      <w:pPr>
        <w:spacing w:after="0" w:line="240" w:lineRule="auto"/>
        <w:rPr>
          <w:b/>
          <w:u w:val="single"/>
        </w:rPr>
      </w:pPr>
    </w:p>
    <w:p w14:paraId="549E54B7" w14:textId="77777777" w:rsidR="00AD2286" w:rsidRPr="00B601FD" w:rsidRDefault="00AD2286" w:rsidP="00A83376">
      <w:pPr>
        <w:spacing w:before="120" w:after="60" w:line="240" w:lineRule="auto"/>
        <w:rPr>
          <w:b/>
        </w:rPr>
      </w:pPr>
      <w:r w:rsidRPr="00B601FD">
        <w:rPr>
          <w:b/>
        </w:rPr>
        <w:t xml:space="preserve">Updates and Announcements </w:t>
      </w:r>
    </w:p>
    <w:p w14:paraId="5924E405" w14:textId="77777777" w:rsidR="006B2C1E" w:rsidRDefault="00446CBD" w:rsidP="00B601FD">
      <w:pPr>
        <w:spacing w:after="0" w:line="240" w:lineRule="auto"/>
      </w:pPr>
      <w:r w:rsidRPr="00446CBD">
        <w:t>Adriane Borgias is reviewing the QAPP for Little Spokane River PCB assessment. Interested parties are requested to contact her if they want to review.</w:t>
      </w:r>
    </w:p>
    <w:p w14:paraId="774C7119" w14:textId="77777777" w:rsidR="00B601FD" w:rsidRDefault="00B601FD" w:rsidP="00B601FD">
      <w:pPr>
        <w:spacing w:after="0" w:line="240" w:lineRule="auto"/>
      </w:pPr>
    </w:p>
    <w:p w14:paraId="4A9BD1C1" w14:textId="77777777" w:rsidR="00446CBD" w:rsidRDefault="00446CBD" w:rsidP="00B601FD">
      <w:pPr>
        <w:spacing w:after="0" w:line="240" w:lineRule="auto"/>
      </w:pPr>
      <w:r w:rsidRPr="00446CBD">
        <w:t xml:space="preserve">Action Item: Adriane Borgias to send copy </w:t>
      </w:r>
      <w:r w:rsidR="005101D3">
        <w:t>to Galen Buterbaugh, Mike LaScou</w:t>
      </w:r>
      <w:r w:rsidRPr="00446CBD">
        <w:t>la, and Doug Krapas.</w:t>
      </w:r>
      <w:r w:rsidR="00362B21">
        <w:t xml:space="preserve"> (COMPLETE)</w:t>
      </w:r>
    </w:p>
    <w:p w14:paraId="56CAB4C0" w14:textId="77777777" w:rsidR="00B601FD" w:rsidRDefault="00B601FD" w:rsidP="00B601FD">
      <w:pPr>
        <w:spacing w:after="0" w:line="240" w:lineRule="auto"/>
        <w:rPr>
          <w:b/>
        </w:rPr>
      </w:pPr>
    </w:p>
    <w:p w14:paraId="39850936" w14:textId="77777777" w:rsidR="00B601FD" w:rsidRDefault="00B601FD" w:rsidP="00B601FD">
      <w:pPr>
        <w:spacing w:after="0" w:line="240" w:lineRule="auto"/>
        <w:rPr>
          <w:b/>
        </w:rPr>
      </w:pPr>
    </w:p>
    <w:p w14:paraId="3FBF1FD4" w14:textId="77777777" w:rsidR="00446CBD" w:rsidRPr="00446CBD" w:rsidRDefault="00446CBD" w:rsidP="00B601FD">
      <w:pPr>
        <w:spacing w:after="0" w:line="240" w:lineRule="auto"/>
        <w:rPr>
          <w:b/>
        </w:rPr>
      </w:pPr>
      <w:r w:rsidRPr="00446CBD">
        <w:rPr>
          <w:b/>
        </w:rPr>
        <w:t>Public Comment</w:t>
      </w:r>
      <w:r>
        <w:rPr>
          <w:b/>
        </w:rPr>
        <w:t xml:space="preserve">: </w:t>
      </w:r>
      <w:r w:rsidRPr="00446CBD">
        <w:t xml:space="preserve">No </w:t>
      </w:r>
      <w:r>
        <w:t>public comment.</w:t>
      </w:r>
    </w:p>
    <w:p w14:paraId="2234DF3C" w14:textId="77777777" w:rsidR="00446CBD" w:rsidRDefault="00446CBD" w:rsidP="00B601FD">
      <w:pPr>
        <w:spacing w:after="0" w:line="240" w:lineRule="auto"/>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w:t>
      </w:r>
    </w:p>
    <w:p w14:paraId="0BAEEC4C" w14:textId="77777777" w:rsidR="001459D9" w:rsidRPr="001459D9" w:rsidRDefault="001459D9" w:rsidP="00B601FD">
      <w:pPr>
        <w:spacing w:after="0" w:line="240" w:lineRule="auto"/>
        <w:jc w:val="center"/>
        <w:rPr>
          <w:sz w:val="24"/>
        </w:rPr>
      </w:pPr>
    </w:p>
    <w:p w14:paraId="6164C4C1" w14:textId="08BBE6DE" w:rsidR="00446CBD" w:rsidRPr="001459D9" w:rsidRDefault="001459D9" w:rsidP="00B601FD">
      <w:pPr>
        <w:spacing w:after="0" w:line="240" w:lineRule="auto"/>
        <w:jc w:val="center"/>
        <w:rPr>
          <w:sz w:val="20"/>
          <w:szCs w:val="18"/>
        </w:rPr>
      </w:pPr>
      <w:r>
        <w:rPr>
          <w:b/>
          <w:sz w:val="20"/>
          <w:szCs w:val="18"/>
        </w:rPr>
        <w:t>N</w:t>
      </w:r>
      <w:r w:rsidR="00446CBD" w:rsidRPr="001459D9">
        <w:rPr>
          <w:b/>
          <w:sz w:val="20"/>
          <w:szCs w:val="18"/>
        </w:rPr>
        <w:t>ext SRRTTF Task Force meeting</w:t>
      </w:r>
      <w:r>
        <w:rPr>
          <w:b/>
          <w:sz w:val="20"/>
          <w:szCs w:val="18"/>
        </w:rPr>
        <w:t>:</w:t>
      </w:r>
      <w:r w:rsidR="00446CBD" w:rsidRPr="001459D9">
        <w:rPr>
          <w:b/>
          <w:sz w:val="20"/>
          <w:szCs w:val="18"/>
        </w:rPr>
        <w:t xml:space="preserve"> October 22</w:t>
      </w:r>
      <w:r w:rsidR="00446CBD" w:rsidRPr="001459D9">
        <w:rPr>
          <w:b/>
          <w:sz w:val="20"/>
          <w:szCs w:val="18"/>
          <w:vertAlign w:val="superscript"/>
        </w:rPr>
        <w:t>nd</w:t>
      </w:r>
      <w:r w:rsidR="00446CBD" w:rsidRPr="001459D9">
        <w:rPr>
          <w:b/>
          <w:sz w:val="20"/>
          <w:szCs w:val="18"/>
        </w:rPr>
        <w:t xml:space="preserve">, 2014 at Liberty Lake Sewer </w:t>
      </w:r>
      <w:r>
        <w:rPr>
          <w:b/>
          <w:sz w:val="20"/>
          <w:szCs w:val="18"/>
        </w:rPr>
        <w:t xml:space="preserve">&amp; </w:t>
      </w:r>
      <w:r w:rsidR="00446CBD" w:rsidRPr="001459D9">
        <w:rPr>
          <w:b/>
          <w:sz w:val="20"/>
          <w:szCs w:val="18"/>
        </w:rPr>
        <w:t xml:space="preserve">Water </w:t>
      </w:r>
      <w:r>
        <w:rPr>
          <w:b/>
          <w:sz w:val="20"/>
          <w:szCs w:val="18"/>
        </w:rPr>
        <w:t>D</w:t>
      </w:r>
      <w:r w:rsidR="00446CBD" w:rsidRPr="001459D9">
        <w:rPr>
          <w:b/>
          <w:sz w:val="20"/>
          <w:szCs w:val="18"/>
        </w:rPr>
        <w:t>istrict</w:t>
      </w:r>
      <w:r>
        <w:rPr>
          <w:b/>
          <w:sz w:val="20"/>
          <w:szCs w:val="18"/>
        </w:rPr>
        <w:t>,</w:t>
      </w:r>
      <w:r w:rsidR="00446CBD" w:rsidRPr="001459D9">
        <w:rPr>
          <w:b/>
          <w:sz w:val="20"/>
          <w:szCs w:val="18"/>
        </w:rPr>
        <w:t xml:space="preserve"> 9am to 12:30pm.</w:t>
      </w:r>
      <w:r w:rsidR="00446CBD" w:rsidRPr="001459D9">
        <w:rPr>
          <w:sz w:val="20"/>
          <w:szCs w:val="18"/>
        </w:rPr>
        <w:t xml:space="preserve"> </w:t>
      </w:r>
    </w:p>
    <w:p w14:paraId="4C26E869" w14:textId="77777777" w:rsidR="001459D9" w:rsidRPr="001459D9" w:rsidRDefault="001459D9" w:rsidP="00B601FD">
      <w:pPr>
        <w:spacing w:after="0" w:line="240" w:lineRule="auto"/>
        <w:jc w:val="center"/>
        <w:rPr>
          <w:sz w:val="20"/>
          <w:szCs w:val="18"/>
        </w:rPr>
      </w:pPr>
    </w:p>
    <w:p w14:paraId="71DD16A6" w14:textId="77777777" w:rsidR="00446CBD" w:rsidRPr="001459D9" w:rsidRDefault="00446CBD" w:rsidP="00B601FD">
      <w:pPr>
        <w:spacing w:after="0" w:line="240" w:lineRule="auto"/>
        <w:jc w:val="center"/>
        <w:rPr>
          <w:sz w:val="20"/>
          <w:szCs w:val="18"/>
        </w:rPr>
      </w:pPr>
      <w:r w:rsidRPr="001459D9">
        <w:rPr>
          <w:sz w:val="20"/>
          <w:szCs w:val="18"/>
        </w:rPr>
        <w:t>The next Technical Track Work Group Meeting is October 1</w:t>
      </w:r>
      <w:r w:rsidRPr="001459D9">
        <w:rPr>
          <w:sz w:val="20"/>
          <w:szCs w:val="18"/>
          <w:vertAlign w:val="superscript"/>
        </w:rPr>
        <w:t>st</w:t>
      </w:r>
      <w:r w:rsidRPr="001459D9">
        <w:rPr>
          <w:sz w:val="20"/>
          <w:szCs w:val="18"/>
        </w:rPr>
        <w:t xml:space="preserve">, 2014 from 10am-12pm at the Department of Ecology. </w:t>
      </w:r>
    </w:p>
    <w:p w14:paraId="49BAC5C8" w14:textId="77777777" w:rsidR="00446CBD" w:rsidRDefault="00446CBD" w:rsidP="00B601FD">
      <w:pPr>
        <w:spacing w:after="0" w:line="240" w:lineRule="auto"/>
        <w:jc w:val="center"/>
      </w:pPr>
      <w:r>
        <w:t>_____________________</w:t>
      </w:r>
      <w:r w:rsidR="00B601FD">
        <w:t>_______________________________</w:t>
      </w:r>
    </w:p>
    <w:sectPr w:rsidR="00446CBD" w:rsidSect="002810BF">
      <w:footerReference w:type="default" r:id="rId9"/>
      <w:pgSz w:w="12240" w:h="15840"/>
      <w:pgMar w:top="1440" w:right="1152" w:bottom="99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3FDF9" w14:textId="77777777" w:rsidR="00A83376" w:rsidRDefault="00A83376" w:rsidP="0034313E">
      <w:pPr>
        <w:spacing w:after="0" w:line="240" w:lineRule="auto"/>
      </w:pPr>
      <w:r>
        <w:separator/>
      </w:r>
    </w:p>
  </w:endnote>
  <w:endnote w:type="continuationSeparator" w:id="0">
    <w:p w14:paraId="05F281E7" w14:textId="77777777" w:rsidR="00A83376" w:rsidRDefault="00A83376" w:rsidP="00343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6646"/>
      <w:docPartObj>
        <w:docPartGallery w:val="Page Numbers (Bottom of Page)"/>
        <w:docPartUnique/>
      </w:docPartObj>
    </w:sdtPr>
    <w:sdtEndPr>
      <w:rPr>
        <w:color w:val="7F7F7F" w:themeColor="background1" w:themeShade="7F"/>
        <w:spacing w:val="60"/>
      </w:rPr>
    </w:sdtEndPr>
    <w:sdtContent>
      <w:p w14:paraId="7563E572" w14:textId="77777777" w:rsidR="00A83376" w:rsidRDefault="00A8337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45F5A">
          <w:rPr>
            <w:noProof/>
          </w:rPr>
          <w:t>7</w:t>
        </w:r>
        <w:r>
          <w:rPr>
            <w:noProof/>
          </w:rPr>
          <w:fldChar w:fldCharType="end"/>
        </w:r>
        <w:r>
          <w:t xml:space="preserve"> | </w:t>
        </w:r>
        <w:r>
          <w:rPr>
            <w:color w:val="7F7F7F" w:themeColor="background1" w:themeShade="7F"/>
            <w:spacing w:val="60"/>
          </w:rPr>
          <w:t>Page</w:t>
        </w:r>
      </w:p>
    </w:sdtContent>
  </w:sdt>
  <w:p w14:paraId="14664306" w14:textId="77777777" w:rsidR="00A83376" w:rsidRDefault="00A83376">
    <w:pPr>
      <w:pStyle w:val="Footer"/>
    </w:pPr>
    <w:r>
      <w:t>9/24/14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CB795" w14:textId="77777777" w:rsidR="00A83376" w:rsidRDefault="00A83376" w:rsidP="0034313E">
      <w:pPr>
        <w:spacing w:after="0" w:line="240" w:lineRule="auto"/>
      </w:pPr>
      <w:r>
        <w:separator/>
      </w:r>
    </w:p>
  </w:footnote>
  <w:footnote w:type="continuationSeparator" w:id="0">
    <w:p w14:paraId="5204E19F" w14:textId="77777777" w:rsidR="00A83376" w:rsidRDefault="00A83376" w:rsidP="003431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44BAD"/>
    <w:multiLevelType w:val="hybridMultilevel"/>
    <w:tmpl w:val="05469AB6"/>
    <w:lvl w:ilvl="0" w:tplc="117C00E8">
      <w:start w:val="1"/>
      <w:numFmt w:val="bullet"/>
      <w:lvlText w:val=""/>
      <w:lvlJc w:val="left"/>
      <w:pPr>
        <w:ind w:left="720" w:hanging="360"/>
      </w:pPr>
      <w:rPr>
        <w:rFonts w:ascii="Symbol" w:hAnsi="Symbol" w:hint="default"/>
      </w:rPr>
    </w:lvl>
    <w:lvl w:ilvl="1" w:tplc="D100A2D4">
      <w:numFmt w:val="bullet"/>
      <w:lvlText w:val="•"/>
      <w:lvlJc w:val="left"/>
      <w:pPr>
        <w:ind w:left="1800" w:hanging="72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4561BA"/>
    <w:multiLevelType w:val="hybridMultilevel"/>
    <w:tmpl w:val="F5682772"/>
    <w:lvl w:ilvl="0" w:tplc="117C0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0E20CF"/>
    <w:multiLevelType w:val="hybridMultilevel"/>
    <w:tmpl w:val="AB9605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73EB4"/>
    <w:multiLevelType w:val="hybridMultilevel"/>
    <w:tmpl w:val="8AD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070EC0"/>
    <w:multiLevelType w:val="hybridMultilevel"/>
    <w:tmpl w:val="048475E2"/>
    <w:lvl w:ilvl="0" w:tplc="117C00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94D47"/>
    <w:multiLevelType w:val="hybridMultilevel"/>
    <w:tmpl w:val="A266D268"/>
    <w:lvl w:ilvl="0" w:tplc="117C0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1932E5"/>
    <w:multiLevelType w:val="hybridMultilevel"/>
    <w:tmpl w:val="87E28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BF133B8"/>
    <w:multiLevelType w:val="hybridMultilevel"/>
    <w:tmpl w:val="C22A7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9F2AAC"/>
    <w:multiLevelType w:val="hybridMultilevel"/>
    <w:tmpl w:val="6756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5672B8"/>
    <w:multiLevelType w:val="hybridMultilevel"/>
    <w:tmpl w:val="8674AAEE"/>
    <w:lvl w:ilvl="0" w:tplc="117C00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3634B"/>
    <w:multiLevelType w:val="hybridMultilevel"/>
    <w:tmpl w:val="F56238DE"/>
    <w:lvl w:ilvl="0" w:tplc="04090001">
      <w:start w:val="1"/>
      <w:numFmt w:val="bullet"/>
      <w:lvlText w:val=""/>
      <w:lvlJc w:val="left"/>
      <w:pPr>
        <w:ind w:left="720" w:hanging="360"/>
      </w:pPr>
      <w:rPr>
        <w:rFonts w:ascii="Symbol" w:hAnsi="Symbol" w:hint="default"/>
      </w:rPr>
    </w:lvl>
    <w:lvl w:ilvl="1" w:tplc="117C00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C22121"/>
    <w:multiLevelType w:val="hybridMultilevel"/>
    <w:tmpl w:val="50287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0D448D"/>
    <w:multiLevelType w:val="hybridMultilevel"/>
    <w:tmpl w:val="492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50EA0"/>
    <w:multiLevelType w:val="hybridMultilevel"/>
    <w:tmpl w:val="B04E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3F47C5"/>
    <w:multiLevelType w:val="hybridMultilevel"/>
    <w:tmpl w:val="0A2ECC7C"/>
    <w:lvl w:ilvl="0" w:tplc="117C00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91368B"/>
    <w:multiLevelType w:val="hybridMultilevel"/>
    <w:tmpl w:val="7C3A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6828AC"/>
    <w:multiLevelType w:val="hybridMultilevel"/>
    <w:tmpl w:val="0900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A2AED"/>
    <w:multiLevelType w:val="hybridMultilevel"/>
    <w:tmpl w:val="1F184D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722BB4"/>
    <w:multiLevelType w:val="hybridMultilevel"/>
    <w:tmpl w:val="9C4C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4167D"/>
    <w:multiLevelType w:val="hybridMultilevel"/>
    <w:tmpl w:val="DD40696C"/>
    <w:lvl w:ilvl="0" w:tplc="117C00E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107AA"/>
    <w:multiLevelType w:val="hybridMultilevel"/>
    <w:tmpl w:val="5F2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A7C3E"/>
    <w:multiLevelType w:val="hybridMultilevel"/>
    <w:tmpl w:val="6610D428"/>
    <w:lvl w:ilvl="0" w:tplc="117C00E8">
      <w:start w:val="1"/>
      <w:numFmt w:val="bullet"/>
      <w:lvlText w:val=""/>
      <w:lvlJc w:val="left"/>
      <w:pPr>
        <w:ind w:left="360" w:hanging="360"/>
      </w:pPr>
      <w:rPr>
        <w:rFonts w:ascii="Symbol" w:hAnsi="Symbol" w:hint="default"/>
      </w:rPr>
    </w:lvl>
    <w:lvl w:ilvl="1" w:tplc="117C00E8">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9A716ED"/>
    <w:multiLevelType w:val="hybridMultilevel"/>
    <w:tmpl w:val="3C3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2F5193"/>
    <w:multiLevelType w:val="hybridMultilevel"/>
    <w:tmpl w:val="8D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D7DB0"/>
    <w:multiLevelType w:val="hybridMultilevel"/>
    <w:tmpl w:val="36D4E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A45EDD"/>
    <w:multiLevelType w:val="hybridMultilevel"/>
    <w:tmpl w:val="29A067CA"/>
    <w:lvl w:ilvl="0" w:tplc="117C0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EE4BCF"/>
    <w:multiLevelType w:val="hybridMultilevel"/>
    <w:tmpl w:val="07F0FFC0"/>
    <w:lvl w:ilvl="0" w:tplc="117C0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C41CD9"/>
    <w:multiLevelType w:val="hybridMultilevel"/>
    <w:tmpl w:val="571A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0E2D93"/>
    <w:multiLevelType w:val="hybridMultilevel"/>
    <w:tmpl w:val="5D02A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EC267D"/>
    <w:multiLevelType w:val="hybridMultilevel"/>
    <w:tmpl w:val="79261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4"/>
  </w:num>
  <w:num w:numId="4">
    <w:abstractNumId w:val="21"/>
  </w:num>
  <w:num w:numId="5">
    <w:abstractNumId w:val="24"/>
  </w:num>
  <w:num w:numId="6">
    <w:abstractNumId w:val="28"/>
  </w:num>
  <w:num w:numId="7">
    <w:abstractNumId w:val="1"/>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19"/>
  </w:num>
  <w:num w:numId="12">
    <w:abstractNumId w:val="17"/>
  </w:num>
  <w:num w:numId="13">
    <w:abstractNumId w:val="29"/>
  </w:num>
  <w:num w:numId="14">
    <w:abstractNumId w:val="13"/>
  </w:num>
  <w:num w:numId="15">
    <w:abstractNumId w:val="16"/>
  </w:num>
  <w:num w:numId="16">
    <w:abstractNumId w:val="30"/>
  </w:num>
  <w:num w:numId="17">
    <w:abstractNumId w:val="3"/>
  </w:num>
  <w:num w:numId="18">
    <w:abstractNumId w:val="25"/>
  </w:num>
  <w:num w:numId="19">
    <w:abstractNumId w:val="11"/>
  </w:num>
  <w:num w:numId="20">
    <w:abstractNumId w:val="2"/>
  </w:num>
  <w:num w:numId="21">
    <w:abstractNumId w:val="20"/>
  </w:num>
  <w:num w:numId="22">
    <w:abstractNumId w:val="5"/>
  </w:num>
  <w:num w:numId="23">
    <w:abstractNumId w:val="10"/>
  </w:num>
  <w:num w:numId="24">
    <w:abstractNumId w:val="0"/>
  </w:num>
  <w:num w:numId="25">
    <w:abstractNumId w:val="26"/>
  </w:num>
  <w:num w:numId="26">
    <w:abstractNumId w:val="12"/>
  </w:num>
  <w:num w:numId="27">
    <w:abstractNumId w:val="22"/>
  </w:num>
  <w:num w:numId="28">
    <w:abstractNumId w:val="27"/>
  </w:num>
  <w:num w:numId="29">
    <w:abstractNumId w:val="18"/>
  </w:num>
  <w:num w:numId="30">
    <w:abstractNumId w:val="1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0FC"/>
    <w:rsid w:val="00003820"/>
    <w:rsid w:val="00005830"/>
    <w:rsid w:val="000062FB"/>
    <w:rsid w:val="00015BD0"/>
    <w:rsid w:val="00016013"/>
    <w:rsid w:val="00022351"/>
    <w:rsid w:val="000231DB"/>
    <w:rsid w:val="0002778E"/>
    <w:rsid w:val="00031715"/>
    <w:rsid w:val="000326EC"/>
    <w:rsid w:val="000401A0"/>
    <w:rsid w:val="000442F2"/>
    <w:rsid w:val="0004669D"/>
    <w:rsid w:val="0005352D"/>
    <w:rsid w:val="000545A8"/>
    <w:rsid w:val="0006055D"/>
    <w:rsid w:val="00090F49"/>
    <w:rsid w:val="00093B26"/>
    <w:rsid w:val="00095A3E"/>
    <w:rsid w:val="00095E66"/>
    <w:rsid w:val="000960FC"/>
    <w:rsid w:val="0009760C"/>
    <w:rsid w:val="000A503F"/>
    <w:rsid w:val="000A663A"/>
    <w:rsid w:val="000A6F4E"/>
    <w:rsid w:val="000A74BB"/>
    <w:rsid w:val="000B317D"/>
    <w:rsid w:val="000B38C2"/>
    <w:rsid w:val="000C31A2"/>
    <w:rsid w:val="000D02C9"/>
    <w:rsid w:val="000E1868"/>
    <w:rsid w:val="000E222B"/>
    <w:rsid w:val="000E44E7"/>
    <w:rsid w:val="000F0883"/>
    <w:rsid w:val="001012B6"/>
    <w:rsid w:val="00112008"/>
    <w:rsid w:val="00113843"/>
    <w:rsid w:val="00121319"/>
    <w:rsid w:val="00127EDC"/>
    <w:rsid w:val="001434F7"/>
    <w:rsid w:val="001459D9"/>
    <w:rsid w:val="00152AA5"/>
    <w:rsid w:val="00152FCF"/>
    <w:rsid w:val="00163710"/>
    <w:rsid w:val="00184969"/>
    <w:rsid w:val="001A1A34"/>
    <w:rsid w:val="001B139E"/>
    <w:rsid w:val="001B42C8"/>
    <w:rsid w:val="001B6F5E"/>
    <w:rsid w:val="001D04F4"/>
    <w:rsid w:val="001D5DCC"/>
    <w:rsid w:val="001E203F"/>
    <w:rsid w:val="001E212E"/>
    <w:rsid w:val="001F31B0"/>
    <w:rsid w:val="00210624"/>
    <w:rsid w:val="00214261"/>
    <w:rsid w:val="0021453B"/>
    <w:rsid w:val="0021775C"/>
    <w:rsid w:val="002435F9"/>
    <w:rsid w:val="002615B6"/>
    <w:rsid w:val="002773B2"/>
    <w:rsid w:val="002802A3"/>
    <w:rsid w:val="002810BF"/>
    <w:rsid w:val="002A77B9"/>
    <w:rsid w:val="002A7BD3"/>
    <w:rsid w:val="002B4A64"/>
    <w:rsid w:val="002D239D"/>
    <w:rsid w:val="002D51F1"/>
    <w:rsid w:val="002F4E55"/>
    <w:rsid w:val="00302F35"/>
    <w:rsid w:val="003067FD"/>
    <w:rsid w:val="00307F3A"/>
    <w:rsid w:val="003107BE"/>
    <w:rsid w:val="00312F49"/>
    <w:rsid w:val="00314AA6"/>
    <w:rsid w:val="00324208"/>
    <w:rsid w:val="00326DAA"/>
    <w:rsid w:val="00327D17"/>
    <w:rsid w:val="00331710"/>
    <w:rsid w:val="00332FD9"/>
    <w:rsid w:val="00333174"/>
    <w:rsid w:val="003342EF"/>
    <w:rsid w:val="00336775"/>
    <w:rsid w:val="00337AFC"/>
    <w:rsid w:val="0034313E"/>
    <w:rsid w:val="003457E0"/>
    <w:rsid w:val="00355492"/>
    <w:rsid w:val="003555C0"/>
    <w:rsid w:val="00361CBE"/>
    <w:rsid w:val="00362B21"/>
    <w:rsid w:val="00380A71"/>
    <w:rsid w:val="00381B7A"/>
    <w:rsid w:val="003913B2"/>
    <w:rsid w:val="00394B9C"/>
    <w:rsid w:val="003978E0"/>
    <w:rsid w:val="003A0277"/>
    <w:rsid w:val="003A512E"/>
    <w:rsid w:val="003B114F"/>
    <w:rsid w:val="003B1A1E"/>
    <w:rsid w:val="003C35DA"/>
    <w:rsid w:val="003C49FC"/>
    <w:rsid w:val="003C6F5C"/>
    <w:rsid w:val="003D6489"/>
    <w:rsid w:val="003D6D65"/>
    <w:rsid w:val="003E077B"/>
    <w:rsid w:val="003E751F"/>
    <w:rsid w:val="003E79E4"/>
    <w:rsid w:val="003F58C9"/>
    <w:rsid w:val="003F68EB"/>
    <w:rsid w:val="003F7879"/>
    <w:rsid w:val="004005E1"/>
    <w:rsid w:val="00407C96"/>
    <w:rsid w:val="00413460"/>
    <w:rsid w:val="004210F0"/>
    <w:rsid w:val="0043427F"/>
    <w:rsid w:val="00440202"/>
    <w:rsid w:val="00440834"/>
    <w:rsid w:val="00446586"/>
    <w:rsid w:val="00446CBD"/>
    <w:rsid w:val="004478FA"/>
    <w:rsid w:val="00466A63"/>
    <w:rsid w:val="00466B73"/>
    <w:rsid w:val="00471A27"/>
    <w:rsid w:val="004745D1"/>
    <w:rsid w:val="00481789"/>
    <w:rsid w:val="004852AB"/>
    <w:rsid w:val="004875F1"/>
    <w:rsid w:val="004A77CD"/>
    <w:rsid w:val="004B2643"/>
    <w:rsid w:val="004B27DE"/>
    <w:rsid w:val="004E4AF4"/>
    <w:rsid w:val="004E702C"/>
    <w:rsid w:val="004E71F6"/>
    <w:rsid w:val="004F5AA1"/>
    <w:rsid w:val="00500AB6"/>
    <w:rsid w:val="005101D3"/>
    <w:rsid w:val="0051515C"/>
    <w:rsid w:val="00531BA5"/>
    <w:rsid w:val="005352A5"/>
    <w:rsid w:val="0054761C"/>
    <w:rsid w:val="00554444"/>
    <w:rsid w:val="00564A0C"/>
    <w:rsid w:val="00566A1F"/>
    <w:rsid w:val="00573762"/>
    <w:rsid w:val="0059107B"/>
    <w:rsid w:val="005922CF"/>
    <w:rsid w:val="005A6C70"/>
    <w:rsid w:val="005B307D"/>
    <w:rsid w:val="005B4C1F"/>
    <w:rsid w:val="005C01E5"/>
    <w:rsid w:val="005C1D29"/>
    <w:rsid w:val="005C77F5"/>
    <w:rsid w:val="005F6BB2"/>
    <w:rsid w:val="006061A4"/>
    <w:rsid w:val="00607FC2"/>
    <w:rsid w:val="00620FF7"/>
    <w:rsid w:val="00632225"/>
    <w:rsid w:val="0063392A"/>
    <w:rsid w:val="006412A1"/>
    <w:rsid w:val="00646258"/>
    <w:rsid w:val="006507FC"/>
    <w:rsid w:val="00654418"/>
    <w:rsid w:val="00657C30"/>
    <w:rsid w:val="00677817"/>
    <w:rsid w:val="00677A60"/>
    <w:rsid w:val="00677BD7"/>
    <w:rsid w:val="00684032"/>
    <w:rsid w:val="006A1457"/>
    <w:rsid w:val="006A14D2"/>
    <w:rsid w:val="006B0AC5"/>
    <w:rsid w:val="006B18AB"/>
    <w:rsid w:val="006B2C1E"/>
    <w:rsid w:val="006C09A5"/>
    <w:rsid w:val="006C2D0F"/>
    <w:rsid w:val="006C7429"/>
    <w:rsid w:val="006F054A"/>
    <w:rsid w:val="00711B97"/>
    <w:rsid w:val="00716399"/>
    <w:rsid w:val="00726BAD"/>
    <w:rsid w:val="0074079E"/>
    <w:rsid w:val="007425C7"/>
    <w:rsid w:val="0074558B"/>
    <w:rsid w:val="00746D28"/>
    <w:rsid w:val="00752E7D"/>
    <w:rsid w:val="007578C8"/>
    <w:rsid w:val="00767D40"/>
    <w:rsid w:val="00772538"/>
    <w:rsid w:val="007728E2"/>
    <w:rsid w:val="0077336B"/>
    <w:rsid w:val="007772B3"/>
    <w:rsid w:val="007833C1"/>
    <w:rsid w:val="007836A1"/>
    <w:rsid w:val="00785428"/>
    <w:rsid w:val="007868A5"/>
    <w:rsid w:val="0078759A"/>
    <w:rsid w:val="00787CD9"/>
    <w:rsid w:val="0079474A"/>
    <w:rsid w:val="00794DD5"/>
    <w:rsid w:val="007A1B72"/>
    <w:rsid w:val="007A53AF"/>
    <w:rsid w:val="007A687D"/>
    <w:rsid w:val="007B1187"/>
    <w:rsid w:val="007B48C8"/>
    <w:rsid w:val="007B5E78"/>
    <w:rsid w:val="007C287A"/>
    <w:rsid w:val="007C7FC1"/>
    <w:rsid w:val="007D05D5"/>
    <w:rsid w:val="007E06A0"/>
    <w:rsid w:val="007E0843"/>
    <w:rsid w:val="007E2D11"/>
    <w:rsid w:val="007E363D"/>
    <w:rsid w:val="00803423"/>
    <w:rsid w:val="00803D64"/>
    <w:rsid w:val="008050D4"/>
    <w:rsid w:val="00807468"/>
    <w:rsid w:val="00807DFF"/>
    <w:rsid w:val="00815BC2"/>
    <w:rsid w:val="00830DB3"/>
    <w:rsid w:val="00836FCB"/>
    <w:rsid w:val="00837C8A"/>
    <w:rsid w:val="00847EF2"/>
    <w:rsid w:val="008500FB"/>
    <w:rsid w:val="008526E1"/>
    <w:rsid w:val="008703ED"/>
    <w:rsid w:val="008744A8"/>
    <w:rsid w:val="00882AF2"/>
    <w:rsid w:val="00884E03"/>
    <w:rsid w:val="0089148C"/>
    <w:rsid w:val="008A012C"/>
    <w:rsid w:val="008A3264"/>
    <w:rsid w:val="008A4233"/>
    <w:rsid w:val="008B22D1"/>
    <w:rsid w:val="008B38C4"/>
    <w:rsid w:val="008B40C2"/>
    <w:rsid w:val="008C65BC"/>
    <w:rsid w:val="008C79F1"/>
    <w:rsid w:val="008D3744"/>
    <w:rsid w:val="008E119F"/>
    <w:rsid w:val="00943837"/>
    <w:rsid w:val="00943F1C"/>
    <w:rsid w:val="00944037"/>
    <w:rsid w:val="00952725"/>
    <w:rsid w:val="00955571"/>
    <w:rsid w:val="009558E9"/>
    <w:rsid w:val="0095794D"/>
    <w:rsid w:val="00960666"/>
    <w:rsid w:val="00963196"/>
    <w:rsid w:val="0097285B"/>
    <w:rsid w:val="00974F54"/>
    <w:rsid w:val="00980A57"/>
    <w:rsid w:val="009876C4"/>
    <w:rsid w:val="0099091C"/>
    <w:rsid w:val="009A1379"/>
    <w:rsid w:val="009B5A49"/>
    <w:rsid w:val="009C0062"/>
    <w:rsid w:val="009C1C52"/>
    <w:rsid w:val="009C5C82"/>
    <w:rsid w:val="009D06D2"/>
    <w:rsid w:val="009D1C1D"/>
    <w:rsid w:val="009D1F2A"/>
    <w:rsid w:val="009D45E4"/>
    <w:rsid w:val="009F008A"/>
    <w:rsid w:val="009F0BDE"/>
    <w:rsid w:val="00A01583"/>
    <w:rsid w:val="00A054B2"/>
    <w:rsid w:val="00A1004E"/>
    <w:rsid w:val="00A111BF"/>
    <w:rsid w:val="00A15872"/>
    <w:rsid w:val="00A1739C"/>
    <w:rsid w:val="00A2499D"/>
    <w:rsid w:val="00A27A4C"/>
    <w:rsid w:val="00A31816"/>
    <w:rsid w:val="00A31ECF"/>
    <w:rsid w:val="00A44F1B"/>
    <w:rsid w:val="00A54FFA"/>
    <w:rsid w:val="00A5713F"/>
    <w:rsid w:val="00A667BC"/>
    <w:rsid w:val="00A83376"/>
    <w:rsid w:val="00A84ACF"/>
    <w:rsid w:val="00A856E1"/>
    <w:rsid w:val="00A874BB"/>
    <w:rsid w:val="00A9234E"/>
    <w:rsid w:val="00A95D2B"/>
    <w:rsid w:val="00AA3C46"/>
    <w:rsid w:val="00AD17E0"/>
    <w:rsid w:val="00AD2286"/>
    <w:rsid w:val="00AE2B24"/>
    <w:rsid w:val="00AF0568"/>
    <w:rsid w:val="00AF279E"/>
    <w:rsid w:val="00B25154"/>
    <w:rsid w:val="00B32532"/>
    <w:rsid w:val="00B32AB1"/>
    <w:rsid w:val="00B350F6"/>
    <w:rsid w:val="00B40826"/>
    <w:rsid w:val="00B525ED"/>
    <w:rsid w:val="00B55CC1"/>
    <w:rsid w:val="00B576C4"/>
    <w:rsid w:val="00B601FD"/>
    <w:rsid w:val="00B6249F"/>
    <w:rsid w:val="00B630C2"/>
    <w:rsid w:val="00B64DC4"/>
    <w:rsid w:val="00B72D09"/>
    <w:rsid w:val="00B733C9"/>
    <w:rsid w:val="00B74586"/>
    <w:rsid w:val="00B7689F"/>
    <w:rsid w:val="00B8755B"/>
    <w:rsid w:val="00B878AD"/>
    <w:rsid w:val="00BB2494"/>
    <w:rsid w:val="00BB691D"/>
    <w:rsid w:val="00BD2FF2"/>
    <w:rsid w:val="00BE0B18"/>
    <w:rsid w:val="00BE2173"/>
    <w:rsid w:val="00BE29DD"/>
    <w:rsid w:val="00BE5D9A"/>
    <w:rsid w:val="00BF3252"/>
    <w:rsid w:val="00BF5DFD"/>
    <w:rsid w:val="00BF76F7"/>
    <w:rsid w:val="00C01700"/>
    <w:rsid w:val="00C06356"/>
    <w:rsid w:val="00C172A7"/>
    <w:rsid w:val="00C229F2"/>
    <w:rsid w:val="00C37C7E"/>
    <w:rsid w:val="00C4101D"/>
    <w:rsid w:val="00C5309F"/>
    <w:rsid w:val="00C558A9"/>
    <w:rsid w:val="00C56521"/>
    <w:rsid w:val="00C71755"/>
    <w:rsid w:val="00C74EA5"/>
    <w:rsid w:val="00CA6DFA"/>
    <w:rsid w:val="00CB3B18"/>
    <w:rsid w:val="00CC1067"/>
    <w:rsid w:val="00CC7CFE"/>
    <w:rsid w:val="00CD3B12"/>
    <w:rsid w:val="00CD4B2B"/>
    <w:rsid w:val="00CF01D1"/>
    <w:rsid w:val="00CF0A85"/>
    <w:rsid w:val="00CF3BC3"/>
    <w:rsid w:val="00CF500E"/>
    <w:rsid w:val="00D060A1"/>
    <w:rsid w:val="00D12EEC"/>
    <w:rsid w:val="00D134F4"/>
    <w:rsid w:val="00D16297"/>
    <w:rsid w:val="00D27D58"/>
    <w:rsid w:val="00D34886"/>
    <w:rsid w:val="00D40E29"/>
    <w:rsid w:val="00D42697"/>
    <w:rsid w:val="00D50C1F"/>
    <w:rsid w:val="00D60825"/>
    <w:rsid w:val="00D6284C"/>
    <w:rsid w:val="00D65C7C"/>
    <w:rsid w:val="00D74214"/>
    <w:rsid w:val="00DA7A63"/>
    <w:rsid w:val="00DB0244"/>
    <w:rsid w:val="00DB1DC8"/>
    <w:rsid w:val="00DB20F0"/>
    <w:rsid w:val="00DB26D9"/>
    <w:rsid w:val="00DB5B94"/>
    <w:rsid w:val="00DB626F"/>
    <w:rsid w:val="00DC243A"/>
    <w:rsid w:val="00DD6133"/>
    <w:rsid w:val="00DE403D"/>
    <w:rsid w:val="00DF13A5"/>
    <w:rsid w:val="00DF2C3E"/>
    <w:rsid w:val="00DF76DC"/>
    <w:rsid w:val="00E07823"/>
    <w:rsid w:val="00E26064"/>
    <w:rsid w:val="00E27E98"/>
    <w:rsid w:val="00E30574"/>
    <w:rsid w:val="00E33ABC"/>
    <w:rsid w:val="00E352F3"/>
    <w:rsid w:val="00E35A48"/>
    <w:rsid w:val="00E37596"/>
    <w:rsid w:val="00E50266"/>
    <w:rsid w:val="00E5150F"/>
    <w:rsid w:val="00E51F9A"/>
    <w:rsid w:val="00E52118"/>
    <w:rsid w:val="00E6014F"/>
    <w:rsid w:val="00E634F6"/>
    <w:rsid w:val="00E7239B"/>
    <w:rsid w:val="00E74A76"/>
    <w:rsid w:val="00E76303"/>
    <w:rsid w:val="00E85B89"/>
    <w:rsid w:val="00E909D5"/>
    <w:rsid w:val="00EB190C"/>
    <w:rsid w:val="00EC3C98"/>
    <w:rsid w:val="00ED113F"/>
    <w:rsid w:val="00EE276A"/>
    <w:rsid w:val="00EE2DE4"/>
    <w:rsid w:val="00EE77F5"/>
    <w:rsid w:val="00EF0926"/>
    <w:rsid w:val="00F13162"/>
    <w:rsid w:val="00F15CFD"/>
    <w:rsid w:val="00F21E5F"/>
    <w:rsid w:val="00F3569A"/>
    <w:rsid w:val="00F40895"/>
    <w:rsid w:val="00F425B9"/>
    <w:rsid w:val="00F451B9"/>
    <w:rsid w:val="00F45F5A"/>
    <w:rsid w:val="00F6214F"/>
    <w:rsid w:val="00F62C18"/>
    <w:rsid w:val="00F63564"/>
    <w:rsid w:val="00F63D32"/>
    <w:rsid w:val="00F9555D"/>
    <w:rsid w:val="00FB78BC"/>
    <w:rsid w:val="00FC7341"/>
    <w:rsid w:val="00FE6951"/>
    <w:rsid w:val="00FF1A45"/>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A9AEFDE"/>
  <w15:docId w15:val="{345C0068-CFD0-461C-B0D9-B0FCED33B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FC"/>
    <w:pPr>
      <w:ind w:left="720"/>
      <w:contextualSpacing/>
    </w:pPr>
  </w:style>
  <w:style w:type="paragraph" w:styleId="BalloonText">
    <w:name w:val="Balloon Text"/>
    <w:basedOn w:val="Normal"/>
    <w:link w:val="BalloonTextChar"/>
    <w:uiPriority w:val="99"/>
    <w:semiHidden/>
    <w:unhideWhenUsed/>
    <w:rsid w:val="0071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97"/>
    <w:rPr>
      <w:rFonts w:ascii="Tahoma" w:eastAsia="Calibri" w:hAnsi="Tahoma" w:cs="Tahoma"/>
      <w:sz w:val="16"/>
      <w:szCs w:val="16"/>
    </w:rPr>
  </w:style>
  <w:style w:type="character" w:styleId="CommentReference">
    <w:name w:val="annotation reference"/>
    <w:basedOn w:val="DefaultParagraphFont"/>
    <w:uiPriority w:val="99"/>
    <w:semiHidden/>
    <w:unhideWhenUsed/>
    <w:rsid w:val="00711B97"/>
    <w:rPr>
      <w:sz w:val="16"/>
      <w:szCs w:val="16"/>
    </w:rPr>
  </w:style>
  <w:style w:type="paragraph" w:styleId="CommentText">
    <w:name w:val="annotation text"/>
    <w:basedOn w:val="Normal"/>
    <w:link w:val="CommentTextChar"/>
    <w:uiPriority w:val="99"/>
    <w:semiHidden/>
    <w:unhideWhenUsed/>
    <w:rsid w:val="00711B97"/>
    <w:pPr>
      <w:spacing w:line="240" w:lineRule="auto"/>
    </w:pPr>
    <w:rPr>
      <w:sz w:val="20"/>
      <w:szCs w:val="20"/>
    </w:rPr>
  </w:style>
  <w:style w:type="character" w:customStyle="1" w:styleId="CommentTextChar">
    <w:name w:val="Comment Text Char"/>
    <w:basedOn w:val="DefaultParagraphFont"/>
    <w:link w:val="CommentText"/>
    <w:uiPriority w:val="99"/>
    <w:semiHidden/>
    <w:rsid w:val="00711B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B97"/>
    <w:rPr>
      <w:b/>
      <w:bCs/>
    </w:rPr>
  </w:style>
  <w:style w:type="character" w:customStyle="1" w:styleId="CommentSubjectChar">
    <w:name w:val="Comment Subject Char"/>
    <w:basedOn w:val="CommentTextChar"/>
    <w:link w:val="CommentSubject"/>
    <w:uiPriority w:val="99"/>
    <w:semiHidden/>
    <w:rsid w:val="00711B97"/>
    <w:rPr>
      <w:rFonts w:ascii="Calibri" w:eastAsia="Calibri" w:hAnsi="Calibri" w:cs="Times New Roman"/>
      <w:b/>
      <w:bCs/>
      <w:sz w:val="20"/>
      <w:szCs w:val="20"/>
    </w:rPr>
  </w:style>
  <w:style w:type="character" w:styleId="Hyperlink">
    <w:name w:val="Hyperlink"/>
    <w:basedOn w:val="DefaultParagraphFont"/>
    <w:uiPriority w:val="99"/>
    <w:unhideWhenUsed/>
    <w:rsid w:val="0009760C"/>
    <w:rPr>
      <w:color w:val="0000FF" w:themeColor="hyperlink"/>
      <w:u w:val="single"/>
    </w:rPr>
  </w:style>
  <w:style w:type="paragraph" w:styleId="Header">
    <w:name w:val="header"/>
    <w:basedOn w:val="Normal"/>
    <w:link w:val="HeaderChar"/>
    <w:uiPriority w:val="99"/>
    <w:unhideWhenUsed/>
    <w:rsid w:val="003431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13E"/>
    <w:rPr>
      <w:rFonts w:ascii="Calibri" w:eastAsia="Calibri" w:hAnsi="Calibri" w:cs="Times New Roman"/>
    </w:rPr>
  </w:style>
  <w:style w:type="paragraph" w:styleId="Footer">
    <w:name w:val="footer"/>
    <w:basedOn w:val="Normal"/>
    <w:link w:val="FooterChar"/>
    <w:uiPriority w:val="99"/>
    <w:unhideWhenUsed/>
    <w:rsid w:val="003431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13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53783">
      <w:bodyDiv w:val="1"/>
      <w:marLeft w:val="0"/>
      <w:marRight w:val="0"/>
      <w:marTop w:val="0"/>
      <w:marBottom w:val="0"/>
      <w:divBdr>
        <w:top w:val="none" w:sz="0" w:space="0" w:color="auto"/>
        <w:left w:val="none" w:sz="0" w:space="0" w:color="auto"/>
        <w:bottom w:val="none" w:sz="0" w:space="0" w:color="auto"/>
        <w:right w:val="none" w:sz="0" w:space="0" w:color="auto"/>
      </w:divBdr>
    </w:div>
    <w:div w:id="630790155">
      <w:bodyDiv w:val="1"/>
      <w:marLeft w:val="0"/>
      <w:marRight w:val="0"/>
      <w:marTop w:val="0"/>
      <w:marBottom w:val="0"/>
      <w:divBdr>
        <w:top w:val="none" w:sz="0" w:space="0" w:color="auto"/>
        <w:left w:val="none" w:sz="0" w:space="0" w:color="auto"/>
        <w:bottom w:val="none" w:sz="0" w:space="0" w:color="auto"/>
        <w:right w:val="none" w:sz="0" w:space="0" w:color="auto"/>
      </w:divBdr>
    </w:div>
    <w:div w:id="75520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ru22\ruckelshaus\Ruckelshaus%20Center\Projects%20(Current)\Spokane%20River%20Toxics%20(2012)\Task%20Force%20Meetings\2014\SRRTTF%20Mtg%2009-24-14\www.spokaneriver.net\wastedirecto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841C-822D-440A-A615-96659A03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3255</Words>
  <Characters>18557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Denevan</dc:creator>
  <cp:lastModifiedBy>Page, Chris</cp:lastModifiedBy>
  <cp:revision>3</cp:revision>
  <cp:lastPrinted>2014-09-23T15:44:00Z</cp:lastPrinted>
  <dcterms:created xsi:type="dcterms:W3CDTF">2014-10-14T00:14:00Z</dcterms:created>
  <dcterms:modified xsi:type="dcterms:W3CDTF">2014-10-14T18:19:00Z</dcterms:modified>
</cp:coreProperties>
</file>