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27" w:rsidRDefault="001C2B65" w:rsidP="009C4327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</w:t>
      </w:r>
      <w:r w:rsidR="009C4327">
        <w:rPr>
          <w:rFonts w:ascii="Arial" w:hAnsi="Arial" w:cs="Arial"/>
          <w:b/>
          <w:sz w:val="32"/>
          <w:szCs w:val="32"/>
        </w:rPr>
        <w:t>nvironmental Assessment Program</w:t>
      </w:r>
    </w:p>
    <w:p w:rsidR="00BF3999" w:rsidRPr="00F1609B" w:rsidRDefault="00BF3999" w:rsidP="009C4327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F1609B">
        <w:rPr>
          <w:rFonts w:ascii="Arial" w:hAnsi="Arial" w:cs="Arial"/>
          <w:b/>
          <w:sz w:val="32"/>
          <w:szCs w:val="32"/>
        </w:rPr>
        <w:t xml:space="preserve">Project </w:t>
      </w:r>
      <w:r w:rsidR="009659F7" w:rsidRPr="00F1609B">
        <w:rPr>
          <w:rFonts w:ascii="Arial" w:hAnsi="Arial" w:cs="Arial"/>
          <w:b/>
          <w:sz w:val="32"/>
          <w:szCs w:val="32"/>
        </w:rPr>
        <w:t xml:space="preserve">Work </w:t>
      </w:r>
      <w:r w:rsidRPr="00F1609B">
        <w:rPr>
          <w:rFonts w:ascii="Arial" w:hAnsi="Arial" w:cs="Arial"/>
          <w:b/>
          <w:sz w:val="32"/>
          <w:szCs w:val="32"/>
        </w:rPr>
        <w:t xml:space="preserve">Plan </w:t>
      </w:r>
      <w:r w:rsidR="00486540" w:rsidRPr="00F1609B">
        <w:rPr>
          <w:rFonts w:ascii="Arial" w:hAnsi="Arial" w:cs="Arial"/>
          <w:b/>
          <w:sz w:val="32"/>
          <w:szCs w:val="32"/>
        </w:rPr>
        <w:t>Memo</w:t>
      </w:r>
    </w:p>
    <w:p w:rsidR="006134CC" w:rsidRDefault="006134CC" w:rsidP="00D0418A"/>
    <w:p w:rsidR="00863341" w:rsidRPr="00875F49" w:rsidRDefault="009C4327" w:rsidP="00D0418A">
      <w:r>
        <w:t>January 9, 2015</w:t>
      </w:r>
    </w:p>
    <w:p w:rsidR="006134CC" w:rsidRDefault="006134CC" w:rsidP="00D0418A"/>
    <w:p w:rsidR="006134CC" w:rsidRDefault="006134CC" w:rsidP="00D0418A"/>
    <w:p w:rsidR="009D32BC" w:rsidRDefault="00C21291" w:rsidP="00D0418A">
      <w:r w:rsidRPr="00875F49">
        <w:rPr>
          <w:b/>
        </w:rPr>
        <w:t>TO:</w:t>
      </w:r>
      <w:r w:rsidRPr="00875F49">
        <w:tab/>
      </w:r>
      <w:r w:rsidR="004F4FE5">
        <w:tab/>
      </w:r>
      <w:r w:rsidR="002F7C38">
        <w:t>Adriane Borgias,</w:t>
      </w:r>
      <w:r w:rsidR="009D32BC">
        <w:t xml:space="preserve"> </w:t>
      </w:r>
      <w:r w:rsidR="009D32BC" w:rsidRPr="009D32BC">
        <w:t>C</w:t>
      </w:r>
      <w:r w:rsidR="00E56546" w:rsidRPr="009D32BC">
        <w:t>lient</w:t>
      </w:r>
    </w:p>
    <w:p w:rsidR="00305BEB" w:rsidRDefault="00E56546" w:rsidP="00D0418A">
      <w:pPr>
        <w:rPr>
          <w:highlight w:val="yellow"/>
        </w:rPr>
      </w:pPr>
      <w:r>
        <w:tab/>
      </w:r>
      <w:r>
        <w:tab/>
      </w:r>
      <w:r w:rsidR="002F7C38">
        <w:t>David T. Knight</w:t>
      </w:r>
      <w:r w:rsidR="00305BEB" w:rsidRPr="00035122">
        <w:t>, Client Unit Supervisor</w:t>
      </w:r>
      <w:r w:rsidR="00305BEB">
        <w:rPr>
          <w:highlight w:val="yellow"/>
        </w:rPr>
        <w:t xml:space="preserve"> </w:t>
      </w:r>
    </w:p>
    <w:p w:rsidR="00C21291" w:rsidRDefault="002F7C38" w:rsidP="004F4FE5">
      <w:pPr>
        <w:ind w:left="720" w:firstLine="720"/>
      </w:pPr>
      <w:r>
        <w:t>James Bellatty,</w:t>
      </w:r>
      <w:r w:rsidR="00035122" w:rsidRPr="00035122">
        <w:t xml:space="preserve"> C</w:t>
      </w:r>
      <w:r w:rsidR="00C21291" w:rsidRPr="00035122">
        <w:t>lient</w:t>
      </w:r>
      <w:r w:rsidR="004A4B74" w:rsidRPr="00035122">
        <w:t xml:space="preserve"> Section Manager</w:t>
      </w:r>
    </w:p>
    <w:p w:rsidR="00E56546" w:rsidRPr="00875F49" w:rsidRDefault="00E56546" w:rsidP="00D0418A">
      <w:r>
        <w:tab/>
      </w:r>
      <w:r>
        <w:tab/>
      </w:r>
    </w:p>
    <w:p w:rsidR="00863341" w:rsidRPr="00875F49" w:rsidRDefault="00863341" w:rsidP="00D0418A"/>
    <w:p w:rsidR="00305BEB" w:rsidRPr="00875F49" w:rsidRDefault="00C21291" w:rsidP="00810A40">
      <w:r w:rsidRPr="00875F49">
        <w:rPr>
          <w:b/>
        </w:rPr>
        <w:t>THROUGH:</w:t>
      </w:r>
      <w:r w:rsidRPr="00875F49">
        <w:tab/>
      </w:r>
      <w:r w:rsidR="00810A40">
        <w:t>Will Kendra</w:t>
      </w:r>
      <w:r w:rsidR="00305BEB" w:rsidRPr="00035122">
        <w:t>,</w:t>
      </w:r>
      <w:r w:rsidR="00305BEB">
        <w:t xml:space="preserve"> </w:t>
      </w:r>
      <w:r w:rsidR="00305BEB" w:rsidRPr="00035122">
        <w:t>EA</w:t>
      </w:r>
      <w:r w:rsidR="009A2A0D">
        <w:t>P</w:t>
      </w:r>
      <w:r w:rsidR="00305BEB" w:rsidRPr="00035122">
        <w:t xml:space="preserve"> Section Manager</w:t>
      </w:r>
    </w:p>
    <w:p w:rsidR="00863341" w:rsidRPr="00875F49" w:rsidRDefault="00863341" w:rsidP="00D0418A"/>
    <w:p w:rsidR="00863341" w:rsidRPr="00875F49" w:rsidRDefault="00C21291" w:rsidP="00D0418A">
      <w:r w:rsidRPr="00875F49">
        <w:rPr>
          <w:b/>
        </w:rPr>
        <w:t>FROM:</w:t>
      </w:r>
      <w:r w:rsidRPr="00875F49">
        <w:tab/>
      </w:r>
      <w:r w:rsidR="00810A40">
        <w:t>Martha Maggi</w:t>
      </w:r>
      <w:r w:rsidR="00035122" w:rsidRPr="00035122">
        <w:t>,</w:t>
      </w:r>
      <w:r w:rsidR="00035122">
        <w:t xml:space="preserve"> </w:t>
      </w:r>
      <w:r w:rsidRPr="00035122">
        <w:t>EA</w:t>
      </w:r>
      <w:r w:rsidR="009A2A0D">
        <w:t>P</w:t>
      </w:r>
      <w:r w:rsidRPr="00035122">
        <w:t xml:space="preserve"> Project Manager</w:t>
      </w:r>
    </w:p>
    <w:p w:rsidR="00863341" w:rsidRPr="00875F49" w:rsidRDefault="00863341" w:rsidP="00D0418A"/>
    <w:p w:rsidR="00040975" w:rsidRPr="00040975" w:rsidRDefault="00863341" w:rsidP="008A2656">
      <w:pPr>
        <w:ind w:left="1440" w:hanging="1440"/>
      </w:pPr>
      <w:r w:rsidRPr="004F4FE5">
        <w:rPr>
          <w:b/>
        </w:rPr>
        <w:t>SUBJECT:</w:t>
      </w:r>
      <w:r w:rsidRPr="00875F49">
        <w:tab/>
      </w:r>
      <w:r w:rsidR="002B2221">
        <w:t xml:space="preserve">Project Work Plan: </w:t>
      </w:r>
      <w:r w:rsidR="002B2221" w:rsidRPr="00035122">
        <w:t xml:space="preserve"> </w:t>
      </w:r>
      <w:r w:rsidR="008A2656" w:rsidRPr="008A2656">
        <w:t>Assessment of PCB</w:t>
      </w:r>
      <w:r w:rsidR="00034536">
        <w:t>s</w:t>
      </w:r>
      <w:r w:rsidR="008A2656" w:rsidRPr="008A2656">
        <w:t xml:space="preserve"> in Spokane Valley Groundwater</w:t>
      </w:r>
    </w:p>
    <w:p w:rsidR="000A0B6E" w:rsidRDefault="000A0B6E" w:rsidP="00D0418A">
      <w:pPr>
        <w:rPr>
          <w:b/>
        </w:rPr>
      </w:pPr>
    </w:p>
    <w:p w:rsidR="00863341" w:rsidRPr="00875F49" w:rsidRDefault="00F14A3B" w:rsidP="00D0418A">
      <w:pPr>
        <w:rPr>
          <w:b/>
        </w:rPr>
      </w:pPr>
      <w:r>
        <w:rPr>
          <w:b/>
        </w:rPr>
        <w:t xml:space="preserve">Tracker </w:t>
      </w:r>
      <w:r w:rsidR="004845F9" w:rsidRPr="00875F49">
        <w:rPr>
          <w:b/>
        </w:rPr>
        <w:t>Code</w:t>
      </w:r>
      <w:r w:rsidR="00035122">
        <w:rPr>
          <w:b/>
        </w:rPr>
        <w:t xml:space="preserve">: </w:t>
      </w:r>
      <w:r w:rsidR="004845F9" w:rsidRPr="00875F49">
        <w:rPr>
          <w:b/>
        </w:rPr>
        <w:t xml:space="preserve"> </w:t>
      </w:r>
      <w:r w:rsidR="008A2656">
        <w:t>15-007</w:t>
      </w:r>
    </w:p>
    <w:p w:rsidR="006134CC" w:rsidRDefault="006134CC" w:rsidP="004F4FE5">
      <w:pPr>
        <w:pStyle w:val="Heading1"/>
      </w:pPr>
    </w:p>
    <w:p w:rsidR="00863341" w:rsidRPr="004F4FE5" w:rsidRDefault="00863341" w:rsidP="004F4FE5">
      <w:pPr>
        <w:pStyle w:val="Heading1"/>
      </w:pPr>
      <w:r w:rsidRPr="004F4FE5">
        <w:t>Problem Description</w:t>
      </w:r>
      <w:r w:rsidR="006C24AF" w:rsidRPr="004F4FE5">
        <w:t xml:space="preserve"> </w:t>
      </w:r>
    </w:p>
    <w:p w:rsidR="00C21291" w:rsidRPr="00875F49" w:rsidRDefault="00C21291" w:rsidP="00D0418A"/>
    <w:p w:rsidR="000C2D94" w:rsidRDefault="00996008" w:rsidP="00D0418A">
      <w:r w:rsidRPr="00996008">
        <w:t xml:space="preserve">The Spokane River Regional Toxics Task Force (SRRTTF) is assessing the loading of PCBs </w:t>
      </w:r>
      <w:r w:rsidR="00AD08B7">
        <w:t>to</w:t>
      </w:r>
      <w:r w:rsidRPr="00996008">
        <w:t xml:space="preserve"> the Spokane River</w:t>
      </w:r>
      <w:r w:rsidR="00126285">
        <w:t>, with the ultimate goal of developing a management plan to control targeted PCB sources</w:t>
      </w:r>
      <w:r w:rsidRPr="00996008">
        <w:t>.</w:t>
      </w:r>
      <w:r w:rsidR="000C2D94">
        <w:t xml:space="preserve"> </w:t>
      </w:r>
      <w:r w:rsidR="008D06F2">
        <w:t>A si</w:t>
      </w:r>
      <w:r w:rsidR="00FA031C">
        <w:t>gnificant amount of PCB data have</w:t>
      </w:r>
      <w:r w:rsidR="008D06F2">
        <w:t xml:space="preserve"> been collected over many years which point to diffuse sources throughout the Spokane River Watershed. </w:t>
      </w:r>
      <w:r w:rsidRPr="00996008">
        <w:t>More than half of the PCB loading to the river</w:t>
      </w:r>
      <w:r w:rsidR="008D06F2">
        <w:t>, however,</w:t>
      </w:r>
      <w:r w:rsidRPr="00996008">
        <w:t xml:space="preserve"> is unaccounted for.</w:t>
      </w:r>
      <w:r>
        <w:t xml:space="preserve"> </w:t>
      </w:r>
      <w:r w:rsidR="0011663E">
        <w:t>T</w:t>
      </w:r>
      <w:r w:rsidR="0011663E" w:rsidRPr="007F195D">
        <w:t>he SRRTTF Technical Consultant</w:t>
      </w:r>
      <w:r w:rsidR="0011663E">
        <w:t xml:space="preserve"> has identified groundwater contributions of dissolved PCBs as an </w:t>
      </w:r>
      <w:r w:rsidR="0011663E" w:rsidRPr="007F195D">
        <w:t>important data gap</w:t>
      </w:r>
      <w:r w:rsidR="00322CB8">
        <w:t>. T</w:t>
      </w:r>
      <w:r w:rsidR="009462DA">
        <w:t>herefore, a</w:t>
      </w:r>
      <w:r>
        <w:t xml:space="preserve"> better understanding of the e</w:t>
      </w:r>
      <w:r w:rsidR="000C2D94">
        <w:t xml:space="preserve">ffect </w:t>
      </w:r>
      <w:r w:rsidRPr="00996008">
        <w:t xml:space="preserve">of groundwater on PCB loadings to the river is </w:t>
      </w:r>
      <w:r w:rsidRPr="00885B48">
        <w:t>needed.</w:t>
      </w:r>
    </w:p>
    <w:p w:rsidR="000C2D94" w:rsidRDefault="000C2D94" w:rsidP="00D0418A"/>
    <w:p w:rsidR="00F42584" w:rsidRDefault="000C2D94" w:rsidP="00F42584">
      <w:r>
        <w:t>In p</w:t>
      </w:r>
      <w:r w:rsidR="00885B48" w:rsidRPr="00885B48">
        <w:t>reparation for future groundwater sampling efforts</w:t>
      </w:r>
      <w:r>
        <w:t xml:space="preserve">, </w:t>
      </w:r>
      <w:r w:rsidR="00322CB8">
        <w:t xml:space="preserve">Ecology’s representative on the SRRTTF has requested that EAP perform </w:t>
      </w:r>
      <w:r>
        <w:t>p</w:t>
      </w:r>
      <w:r w:rsidR="00F42584" w:rsidRPr="00996008">
        <w:t xml:space="preserve">reliminary research to determine if previous groundwater data </w:t>
      </w:r>
      <w:r w:rsidR="00667185">
        <w:t xml:space="preserve">and information regarding </w:t>
      </w:r>
      <w:r w:rsidR="00F42584" w:rsidRPr="00996008">
        <w:t>PCB</w:t>
      </w:r>
      <w:r w:rsidR="00667185">
        <w:t>s</w:t>
      </w:r>
      <w:r w:rsidR="00F42584" w:rsidRPr="00996008">
        <w:t xml:space="preserve"> </w:t>
      </w:r>
      <w:r w:rsidR="00403F6F">
        <w:t>are</w:t>
      </w:r>
      <w:r w:rsidR="00E53039">
        <w:t xml:space="preserve"> available</w:t>
      </w:r>
      <w:r w:rsidR="00CC6069">
        <w:t xml:space="preserve"> in areas that could </w:t>
      </w:r>
      <w:r w:rsidR="00E53039">
        <w:t xml:space="preserve">inform analysis of </w:t>
      </w:r>
      <w:r w:rsidR="00CC6069">
        <w:t>loading to the river</w:t>
      </w:r>
      <w:r w:rsidR="00F42584">
        <w:t>.</w:t>
      </w:r>
      <w:r w:rsidR="00322CB8" w:rsidRPr="00322CB8">
        <w:t xml:space="preserve"> </w:t>
      </w:r>
      <w:r w:rsidR="00322CB8">
        <w:t>T</w:t>
      </w:r>
      <w:r w:rsidR="00652B55">
        <w:t>he S</w:t>
      </w:r>
      <w:r w:rsidR="00322CB8">
        <w:t xml:space="preserve">RRTTF has identified FY2015 for project planning </w:t>
      </w:r>
      <w:r w:rsidR="00956174">
        <w:t xml:space="preserve">and </w:t>
      </w:r>
      <w:r w:rsidR="00322CB8">
        <w:t xml:space="preserve"> FY2016</w:t>
      </w:r>
      <w:r w:rsidR="00956174">
        <w:t xml:space="preserve"> for</w:t>
      </w:r>
      <w:r w:rsidR="00322CB8">
        <w:t xml:space="preserve"> </w:t>
      </w:r>
      <w:r w:rsidR="002C7D74">
        <w:t>e</w:t>
      </w:r>
      <w:r w:rsidR="00956174">
        <w:t xml:space="preserve">nvironmental </w:t>
      </w:r>
      <w:r w:rsidR="00322CB8">
        <w:t xml:space="preserve">sampling and analysis </w:t>
      </w:r>
      <w:r w:rsidR="00956174">
        <w:t xml:space="preserve">to possibly include </w:t>
      </w:r>
      <w:r w:rsidR="00322CB8">
        <w:t xml:space="preserve">groundwater </w:t>
      </w:r>
      <w:r w:rsidR="00956174">
        <w:t>data collection.</w:t>
      </w:r>
    </w:p>
    <w:p w:rsidR="006134CC" w:rsidRPr="007F195D" w:rsidRDefault="006134CC" w:rsidP="004F4FE5">
      <w:pPr>
        <w:pStyle w:val="Heading1"/>
        <w:rPr>
          <w:b w:val="0"/>
        </w:rPr>
      </w:pPr>
    </w:p>
    <w:p w:rsidR="00863341" w:rsidRPr="00875F49" w:rsidRDefault="00681335" w:rsidP="004F4FE5">
      <w:pPr>
        <w:pStyle w:val="Heading1"/>
      </w:pPr>
      <w:r>
        <w:t>Study</w:t>
      </w:r>
      <w:r w:rsidR="00B57A99">
        <w:t xml:space="preserve"> Objective</w:t>
      </w:r>
      <w:r w:rsidR="00673F78">
        <w:t>s</w:t>
      </w:r>
    </w:p>
    <w:p w:rsidR="00D0418A" w:rsidRDefault="00D0418A" w:rsidP="00D0418A"/>
    <w:p w:rsidR="00996008" w:rsidRDefault="00996008" w:rsidP="00D0418A">
      <w:r w:rsidRPr="00996008">
        <w:t xml:space="preserve">The project </w:t>
      </w:r>
      <w:r w:rsidR="00B57A99">
        <w:t xml:space="preserve">will </w:t>
      </w:r>
      <w:r w:rsidRPr="00996008">
        <w:t>assist in filling impor</w:t>
      </w:r>
      <w:r w:rsidR="00B57A99">
        <w:t>tant data gaps that have been i</w:t>
      </w:r>
      <w:r w:rsidRPr="00996008">
        <w:t>dentified by the SRRTTF Technical Consultant.</w:t>
      </w:r>
      <w:r w:rsidR="00B57A99">
        <w:t xml:space="preserve"> The primary study objective </w:t>
      </w:r>
      <w:r w:rsidR="00B713EB">
        <w:t>is</w:t>
      </w:r>
      <w:r w:rsidR="00B57A99">
        <w:t>:</w:t>
      </w:r>
    </w:p>
    <w:p w:rsidR="00114283" w:rsidRDefault="00114283" w:rsidP="00D0418A"/>
    <w:p w:rsidR="00673F78" w:rsidRPr="00673F78" w:rsidRDefault="00E305E0" w:rsidP="00B713EB">
      <w:pPr>
        <w:pStyle w:val="ListParagraph"/>
        <w:numPr>
          <w:ilvl w:val="0"/>
          <w:numId w:val="8"/>
        </w:numPr>
      </w:pPr>
      <w:r>
        <w:t>C</w:t>
      </w:r>
      <w:r w:rsidR="00CE6BDF">
        <w:t>oordinat</w:t>
      </w:r>
      <w:r>
        <w:t xml:space="preserve">e </w:t>
      </w:r>
      <w:r w:rsidR="00CE6BDF">
        <w:t xml:space="preserve">with the </w:t>
      </w:r>
      <w:r w:rsidR="00CE6BDF" w:rsidRPr="00673F78">
        <w:t>SRRTTF Technical Consultant</w:t>
      </w:r>
      <w:r w:rsidR="00791A2E">
        <w:t xml:space="preserve"> and the Technical Track Work Group</w:t>
      </w:r>
      <w:r>
        <w:t>.</w:t>
      </w:r>
      <w:r w:rsidR="00CE6BDF">
        <w:t xml:space="preserve"> </w:t>
      </w:r>
      <w:r w:rsidR="00E519FA">
        <w:t>B</w:t>
      </w:r>
      <w:r w:rsidR="00CE6BDF">
        <w:t>ased on the established data gap analysis</w:t>
      </w:r>
      <w:r w:rsidR="00BE726E">
        <w:t>, modeling needs,</w:t>
      </w:r>
      <w:r w:rsidR="00991AB1">
        <w:t xml:space="preserve"> and monitoring strategy</w:t>
      </w:r>
      <w:r w:rsidR="00CE6BDF">
        <w:t>, i</w:t>
      </w:r>
      <w:r w:rsidR="00114283" w:rsidRPr="00673F78">
        <w:t xml:space="preserve">dentify and </w:t>
      </w:r>
      <w:r w:rsidR="00403F6F">
        <w:t>compile</w:t>
      </w:r>
      <w:r w:rsidR="00114283" w:rsidRPr="00673F78">
        <w:t xml:space="preserve"> existing data and </w:t>
      </w:r>
      <w:r w:rsidR="00904C4C" w:rsidRPr="00673F78">
        <w:t>information</w:t>
      </w:r>
      <w:r w:rsidR="00114283" w:rsidRPr="00673F78">
        <w:t xml:space="preserve"> resources</w:t>
      </w:r>
      <w:r w:rsidR="00B57A99" w:rsidRPr="00673F78">
        <w:t xml:space="preserve"> that could assist with PCB loading analysis from groundwater</w:t>
      </w:r>
      <w:r w:rsidR="00C544B0" w:rsidRPr="00673F78">
        <w:t xml:space="preserve"> that have not already been identified and evaluated by the Technical Consultant from other monitoring efforts</w:t>
      </w:r>
      <w:r>
        <w:t xml:space="preserve">, </w:t>
      </w:r>
      <w:r w:rsidR="00C544B0" w:rsidRPr="00673F78">
        <w:t>such as USGS NAWQA.</w:t>
      </w:r>
    </w:p>
    <w:p w:rsidR="00C21291" w:rsidRPr="00875F49" w:rsidRDefault="00C21291" w:rsidP="004F4FE5">
      <w:pPr>
        <w:pStyle w:val="Heading1"/>
        <w:rPr>
          <w:bCs/>
          <w:i/>
          <w:iCs/>
        </w:rPr>
      </w:pPr>
      <w:r w:rsidRPr="00875F49">
        <w:lastRenderedPageBreak/>
        <w:t>Scope-of-Work</w:t>
      </w:r>
      <w:r w:rsidR="000F4FA6">
        <w:t xml:space="preserve"> and Tasks</w:t>
      </w:r>
    </w:p>
    <w:p w:rsidR="00863341" w:rsidRDefault="00863341" w:rsidP="00D0418A"/>
    <w:p w:rsidR="00FA031C" w:rsidRDefault="007E793A" w:rsidP="00FA031C">
      <w:r>
        <w:t>T</w:t>
      </w:r>
      <w:r w:rsidR="0023274C">
        <w:t xml:space="preserve">he SRRTF Technical Consultant has </w:t>
      </w:r>
      <w:r w:rsidR="002300EB">
        <w:t>identified data gaps</w:t>
      </w:r>
      <w:r w:rsidR="00B805E7">
        <w:t xml:space="preserve">, </w:t>
      </w:r>
      <w:r w:rsidR="002300EB">
        <w:t xml:space="preserve">developed </w:t>
      </w:r>
      <w:r w:rsidR="0023274C">
        <w:t>a</w:t>
      </w:r>
      <w:r w:rsidR="002300EB">
        <w:t xml:space="preserve"> </w:t>
      </w:r>
      <w:r w:rsidR="00B805E7">
        <w:t xml:space="preserve">monitoring </w:t>
      </w:r>
      <w:r w:rsidR="002300EB">
        <w:t>strategy</w:t>
      </w:r>
      <w:r w:rsidR="00B805E7">
        <w:t>,</w:t>
      </w:r>
      <w:r w:rsidR="002300EB">
        <w:t xml:space="preserve"> and </w:t>
      </w:r>
      <w:r w:rsidR="00B805E7">
        <w:t xml:space="preserve">written </w:t>
      </w:r>
      <w:r w:rsidR="002300EB">
        <w:t>a draft QAPP</w:t>
      </w:r>
      <w:r w:rsidR="0023274C">
        <w:t xml:space="preserve"> for monitoring activities. The geographic scope of these activities includes the Spokane River </w:t>
      </w:r>
      <w:r>
        <w:t xml:space="preserve">upstream of Lake Spokane to </w:t>
      </w:r>
      <w:r w:rsidR="0023274C">
        <w:t>the outlet of Lake Coeur d’Alene in Idaho</w:t>
      </w:r>
      <w:r>
        <w:t>.</w:t>
      </w:r>
      <w:r w:rsidR="00B805E7">
        <w:t xml:space="preserve"> </w:t>
      </w:r>
      <w:r w:rsidR="000E6144">
        <w:t>T</w:t>
      </w:r>
      <w:r w:rsidR="00FA031C">
        <w:t>his</w:t>
      </w:r>
      <w:r w:rsidR="00034536">
        <w:t xml:space="preserve"> current</w:t>
      </w:r>
      <w:r w:rsidR="00FA031C">
        <w:t xml:space="preserve"> project will </w:t>
      </w:r>
      <w:r>
        <w:t>cover</w:t>
      </w:r>
      <w:r w:rsidR="004212DB">
        <w:t xml:space="preserve"> </w:t>
      </w:r>
      <w:r w:rsidR="0023274C">
        <w:t>a similar geographic scope</w:t>
      </w:r>
      <w:r w:rsidR="00B805E7">
        <w:t xml:space="preserve"> (RM111 to RM 58, the Nine-Mile dam)</w:t>
      </w:r>
      <w:r w:rsidR="0023274C">
        <w:t xml:space="preserve"> in order to be useful for future planning. </w:t>
      </w:r>
      <w:r w:rsidR="00D567B9">
        <w:t>The tasks will focus</w:t>
      </w:r>
      <w:r w:rsidR="002300EB">
        <w:t xml:space="preserve"> on</w:t>
      </w:r>
      <w:r w:rsidR="00E519FA">
        <w:t>−</w:t>
      </w:r>
      <w:r w:rsidR="002300EB">
        <w:t>but not be limited to</w:t>
      </w:r>
      <w:r w:rsidR="00E519FA">
        <w:t>−</w:t>
      </w:r>
      <w:r w:rsidR="00D567B9">
        <w:t xml:space="preserve">areas identified by the Technical </w:t>
      </w:r>
      <w:r w:rsidR="00E519FA">
        <w:t>C</w:t>
      </w:r>
      <w:r w:rsidR="00D567B9">
        <w:t>onsultant as needing further data or information.</w:t>
      </w:r>
    </w:p>
    <w:p w:rsidR="00873471" w:rsidRDefault="00873471" w:rsidP="00FA031C"/>
    <w:p w:rsidR="00873471" w:rsidRPr="00604BEF" w:rsidRDefault="00873471" w:rsidP="00FA031C">
      <w:r>
        <w:t>Tasks include:</w:t>
      </w:r>
    </w:p>
    <w:p w:rsidR="00FA031C" w:rsidRPr="00875F49" w:rsidRDefault="00FA031C" w:rsidP="00D0418A"/>
    <w:p w:rsidR="00E53039" w:rsidRDefault="00615B05" w:rsidP="004D3624">
      <w:pPr>
        <w:numPr>
          <w:ilvl w:val="0"/>
          <w:numId w:val="2"/>
        </w:numPr>
        <w:ind w:left="360"/>
      </w:pPr>
      <w:r>
        <w:rPr>
          <w:u w:val="single"/>
        </w:rPr>
        <w:t>Identify s</w:t>
      </w:r>
      <w:r w:rsidR="00E253F7" w:rsidRPr="00E253F7">
        <w:rPr>
          <w:u w:val="single"/>
        </w:rPr>
        <w:t xml:space="preserve">tatus of </w:t>
      </w:r>
      <w:r w:rsidR="004D3624">
        <w:rPr>
          <w:u w:val="single"/>
        </w:rPr>
        <w:t>Toxics Cleanup Program (</w:t>
      </w:r>
      <w:r w:rsidR="00E253F7" w:rsidRPr="00E253F7">
        <w:rPr>
          <w:u w:val="single"/>
        </w:rPr>
        <w:t>TCP</w:t>
      </w:r>
      <w:r w:rsidR="004D3624">
        <w:rPr>
          <w:u w:val="single"/>
        </w:rPr>
        <w:t>)</w:t>
      </w:r>
      <w:r w:rsidR="00E253F7" w:rsidRPr="00E253F7">
        <w:rPr>
          <w:u w:val="single"/>
        </w:rPr>
        <w:t xml:space="preserve"> sites with PCBs that could be contributing to groundwater</w:t>
      </w:r>
      <w:r w:rsidR="00E253F7">
        <w:t xml:space="preserve">. </w:t>
      </w:r>
      <w:r w:rsidR="00E519FA">
        <w:t>S</w:t>
      </w:r>
      <w:r w:rsidR="00D567B9">
        <w:t>everal</w:t>
      </w:r>
      <w:r w:rsidR="00885B48" w:rsidRPr="00885B48">
        <w:t xml:space="preserve"> cleanup areas and former cleanup areas could still have residual PCB</w:t>
      </w:r>
      <w:r w:rsidR="00A91C15">
        <w:t>s that are</w:t>
      </w:r>
      <w:r w:rsidR="00885B48" w:rsidRPr="00885B48">
        <w:t xml:space="preserve"> </w:t>
      </w:r>
      <w:r w:rsidR="00A91C15">
        <w:t xml:space="preserve">loading </w:t>
      </w:r>
      <w:r w:rsidR="00885B48" w:rsidRPr="00885B48">
        <w:t>t</w:t>
      </w:r>
      <w:r w:rsidR="00A91C15">
        <w:t>o</w:t>
      </w:r>
      <w:r w:rsidR="00885B48" w:rsidRPr="00885B48">
        <w:t xml:space="preserve"> groundwater. </w:t>
      </w:r>
      <w:r w:rsidR="00E519FA">
        <w:t>In t</w:t>
      </w:r>
      <w:r w:rsidR="00885B48" w:rsidRPr="00885B48">
        <w:t>his part of the analysis</w:t>
      </w:r>
      <w:r w:rsidR="00E519FA">
        <w:t>, we</w:t>
      </w:r>
      <w:r w:rsidR="00885B48" w:rsidRPr="00885B48">
        <w:t xml:space="preserve"> </w:t>
      </w:r>
      <w:r w:rsidR="000E6144">
        <w:t xml:space="preserve">will develop </w:t>
      </w:r>
      <w:r w:rsidR="00E253F7">
        <w:t>a spreadsheet that identif</w:t>
      </w:r>
      <w:r w:rsidR="00E519FA">
        <w:t xml:space="preserve">ies </w:t>
      </w:r>
      <w:r w:rsidR="00885B48" w:rsidRPr="00885B48">
        <w:t>those sites</w:t>
      </w:r>
      <w:r w:rsidR="000E6144">
        <w:t xml:space="preserve"> </w:t>
      </w:r>
      <w:r w:rsidR="00E519FA">
        <w:t>and</w:t>
      </w:r>
      <w:r w:rsidR="00885B48" w:rsidRPr="00885B48">
        <w:t xml:space="preserve"> summar</w:t>
      </w:r>
      <w:r w:rsidR="00E519FA">
        <w:t>izes</w:t>
      </w:r>
      <w:r w:rsidR="00885B48" w:rsidRPr="00885B48">
        <w:t xml:space="preserve"> their characteristics</w:t>
      </w:r>
      <w:r w:rsidR="00E253F7">
        <w:t xml:space="preserve"> such as</w:t>
      </w:r>
      <w:r w:rsidR="00E53039">
        <w:t>:</w:t>
      </w:r>
    </w:p>
    <w:p w:rsidR="00E53039" w:rsidRDefault="00885B48" w:rsidP="00E53039">
      <w:pPr>
        <w:pStyle w:val="ListParagraph"/>
        <w:numPr>
          <w:ilvl w:val="0"/>
          <w:numId w:val="5"/>
        </w:numPr>
      </w:pPr>
      <w:r w:rsidRPr="00885B48">
        <w:t>wheth</w:t>
      </w:r>
      <w:r w:rsidR="00E53039">
        <w:t>er PCBs were identified</w:t>
      </w:r>
    </w:p>
    <w:p w:rsidR="00E53039" w:rsidRDefault="00885B48" w:rsidP="00E53039">
      <w:pPr>
        <w:pStyle w:val="ListParagraph"/>
        <w:numPr>
          <w:ilvl w:val="0"/>
          <w:numId w:val="5"/>
        </w:numPr>
      </w:pPr>
      <w:r w:rsidRPr="00885B48">
        <w:t>proximity</w:t>
      </w:r>
      <w:r w:rsidR="00E53039">
        <w:t xml:space="preserve"> to river</w:t>
      </w:r>
    </w:p>
    <w:p w:rsidR="00E53039" w:rsidRDefault="00E53039" w:rsidP="00E53039">
      <w:pPr>
        <w:pStyle w:val="ListParagraph"/>
        <w:numPr>
          <w:ilvl w:val="0"/>
          <w:numId w:val="5"/>
        </w:numPr>
      </w:pPr>
      <w:r>
        <w:t>proximity to groundwater</w:t>
      </w:r>
    </w:p>
    <w:p w:rsidR="00E53039" w:rsidRDefault="00E53039" w:rsidP="00E53039">
      <w:pPr>
        <w:pStyle w:val="ListParagraph"/>
        <w:numPr>
          <w:ilvl w:val="0"/>
          <w:numId w:val="5"/>
        </w:numPr>
      </w:pPr>
      <w:r>
        <w:t>status of cleanup</w:t>
      </w:r>
    </w:p>
    <w:p w:rsidR="00E53039" w:rsidRDefault="00885B48" w:rsidP="00E53039">
      <w:pPr>
        <w:pStyle w:val="ListParagraph"/>
        <w:numPr>
          <w:ilvl w:val="0"/>
          <w:numId w:val="5"/>
        </w:numPr>
      </w:pPr>
      <w:r w:rsidRPr="00885B48">
        <w:t>cle</w:t>
      </w:r>
      <w:r w:rsidR="00E53039">
        <w:t>anup standards that were used</w:t>
      </w:r>
    </w:p>
    <w:p w:rsidR="00E53039" w:rsidRDefault="00885B48" w:rsidP="00E53039">
      <w:pPr>
        <w:pStyle w:val="ListParagraph"/>
        <w:numPr>
          <w:ilvl w:val="0"/>
          <w:numId w:val="5"/>
        </w:numPr>
      </w:pPr>
      <w:r w:rsidRPr="00885B48">
        <w:t>presence of wells</w:t>
      </w:r>
    </w:p>
    <w:p w:rsidR="00E53039" w:rsidRDefault="00885B48" w:rsidP="00E53039">
      <w:pPr>
        <w:pStyle w:val="ListParagraph"/>
        <w:numPr>
          <w:ilvl w:val="0"/>
          <w:numId w:val="5"/>
        </w:numPr>
      </w:pPr>
      <w:r w:rsidRPr="00885B48">
        <w:t>presence of PCB</w:t>
      </w:r>
      <w:r w:rsidR="00E253F7">
        <w:t>s</w:t>
      </w:r>
      <w:r w:rsidR="00E53039">
        <w:t xml:space="preserve"> in the groundwater (if known)</w:t>
      </w:r>
      <w:r w:rsidR="00A91C15">
        <w:t xml:space="preserve"> </w:t>
      </w:r>
    </w:p>
    <w:p w:rsidR="006035DD" w:rsidRDefault="00D567B9" w:rsidP="00E53039">
      <w:pPr>
        <w:pStyle w:val="ListParagraph"/>
        <w:numPr>
          <w:ilvl w:val="0"/>
          <w:numId w:val="5"/>
        </w:numPr>
      </w:pPr>
      <w:r>
        <w:t>data quality</w:t>
      </w:r>
      <w:r w:rsidR="00BD02E1">
        <w:t xml:space="preserve"> reported in EIM</w:t>
      </w:r>
      <w:r w:rsidR="007867E3">
        <w:t xml:space="preserve"> or in other documentation</w:t>
      </w:r>
    </w:p>
    <w:p w:rsidR="00E53039" w:rsidRDefault="00885B48" w:rsidP="00E53039">
      <w:pPr>
        <w:pStyle w:val="ListParagraph"/>
        <w:numPr>
          <w:ilvl w:val="0"/>
          <w:numId w:val="5"/>
        </w:numPr>
      </w:pPr>
      <w:r w:rsidRPr="00885B48">
        <w:t>recommendations regarding future sampling</w:t>
      </w:r>
    </w:p>
    <w:p w:rsidR="00E53039" w:rsidRDefault="00E53039" w:rsidP="00E53039">
      <w:pPr>
        <w:ind w:left="360"/>
      </w:pPr>
    </w:p>
    <w:p w:rsidR="00885B48" w:rsidRPr="00885B48" w:rsidRDefault="006035DD" w:rsidP="00E53039">
      <w:pPr>
        <w:ind w:left="360"/>
      </w:pPr>
      <w:r>
        <w:t>We will</w:t>
      </w:r>
      <w:r w:rsidR="00885B48" w:rsidRPr="00885B48">
        <w:t xml:space="preserve"> interview TCP and our Urban Waters personnel</w:t>
      </w:r>
      <w:r>
        <w:t>,</w:t>
      </w:r>
      <w:r w:rsidRPr="00885B48">
        <w:t xml:space="preserve"> </w:t>
      </w:r>
      <w:r w:rsidR="00885B48" w:rsidRPr="00885B48">
        <w:t>review documentation regarding the current status of the sites, and prepar</w:t>
      </w:r>
      <w:r>
        <w:t>e</w:t>
      </w:r>
      <w:r w:rsidR="00885B48" w:rsidRPr="00885B48">
        <w:t xml:space="preserve"> a matrix.</w:t>
      </w:r>
    </w:p>
    <w:p w:rsidR="00885B48" w:rsidRPr="00885B48" w:rsidRDefault="00885B48" w:rsidP="004D3624"/>
    <w:p w:rsidR="009501E0" w:rsidRDefault="00C07217" w:rsidP="004D3624">
      <w:pPr>
        <w:numPr>
          <w:ilvl w:val="0"/>
          <w:numId w:val="2"/>
        </w:numPr>
        <w:ind w:left="360"/>
      </w:pPr>
      <w:r>
        <w:rPr>
          <w:u w:val="single"/>
        </w:rPr>
        <w:t>Perform w</w:t>
      </w:r>
      <w:r w:rsidR="004D3624" w:rsidRPr="004D3624">
        <w:rPr>
          <w:u w:val="single"/>
        </w:rPr>
        <w:t>ell log review</w:t>
      </w:r>
      <w:r w:rsidR="004D3624">
        <w:t xml:space="preserve">. </w:t>
      </w:r>
      <w:r w:rsidR="006035DD">
        <w:t>We will i</w:t>
      </w:r>
      <w:r w:rsidR="000E6144">
        <w:t>dentify and r</w:t>
      </w:r>
      <w:r w:rsidR="00885B48" w:rsidRPr="00885B48">
        <w:t xml:space="preserve">eview </w:t>
      </w:r>
      <w:r w:rsidR="004D3624">
        <w:t xml:space="preserve">well logs </w:t>
      </w:r>
      <w:r>
        <w:t>in Ecology</w:t>
      </w:r>
      <w:r w:rsidR="006035DD">
        <w:t>’s</w:t>
      </w:r>
      <w:r>
        <w:t xml:space="preserve"> database </w:t>
      </w:r>
      <w:r w:rsidR="004D3624">
        <w:t xml:space="preserve">for supply and </w:t>
      </w:r>
      <w:r w:rsidR="00885B48" w:rsidRPr="00885B48">
        <w:t xml:space="preserve">monitoring wells (in addition to the </w:t>
      </w:r>
      <w:r w:rsidR="004D3624">
        <w:t xml:space="preserve">TCP sites </w:t>
      </w:r>
      <w:r w:rsidR="00885B48" w:rsidRPr="00885B48">
        <w:t xml:space="preserve">above) that might be appropriate for data mining or </w:t>
      </w:r>
      <w:r w:rsidR="006035DD">
        <w:t xml:space="preserve">future </w:t>
      </w:r>
      <w:r w:rsidR="00885B48" w:rsidRPr="00885B48">
        <w:t xml:space="preserve">monitoring. </w:t>
      </w:r>
      <w:r w:rsidR="009501E0">
        <w:t>Criteria for inclusion will be developed in consultation with the TTWG, but will likely include the following:</w:t>
      </w:r>
    </w:p>
    <w:p w:rsidR="009501E0" w:rsidRPr="009501E0" w:rsidRDefault="00CF1A43" w:rsidP="00DC53DF">
      <w:pPr>
        <w:pStyle w:val="ListParagraph"/>
        <w:numPr>
          <w:ilvl w:val="0"/>
          <w:numId w:val="7"/>
        </w:numPr>
      </w:pPr>
      <w:r>
        <w:t>wells near identified PCB sources</w:t>
      </w:r>
      <w:r w:rsidR="004D3624" w:rsidRPr="009501E0">
        <w:t xml:space="preserve"> </w:t>
      </w:r>
    </w:p>
    <w:p w:rsidR="009501E0" w:rsidRPr="009501E0" w:rsidRDefault="006B7376" w:rsidP="00DC53DF">
      <w:pPr>
        <w:pStyle w:val="ListParagraph"/>
        <w:numPr>
          <w:ilvl w:val="0"/>
          <w:numId w:val="7"/>
        </w:numPr>
      </w:pPr>
      <w:r w:rsidRPr="009501E0">
        <w:t xml:space="preserve">wells within </w:t>
      </w:r>
      <w:r w:rsidR="00C87D61">
        <w:t>½ mile</w:t>
      </w:r>
      <w:r w:rsidR="009501E0" w:rsidRPr="009501E0">
        <w:t xml:space="preserve"> distance of the river</w:t>
      </w:r>
    </w:p>
    <w:p w:rsidR="00885B48" w:rsidRDefault="006B7376" w:rsidP="00DC53DF">
      <w:pPr>
        <w:pStyle w:val="ListParagraph"/>
        <w:numPr>
          <w:ilvl w:val="0"/>
          <w:numId w:val="7"/>
        </w:numPr>
      </w:pPr>
      <w:r w:rsidRPr="009501E0">
        <w:t xml:space="preserve">wells </w:t>
      </w:r>
      <w:r w:rsidR="009501E0" w:rsidRPr="009501E0">
        <w:t>adjacent to</w:t>
      </w:r>
      <w:r w:rsidRPr="009501E0">
        <w:t xml:space="preserve"> gaining reaches</w:t>
      </w:r>
      <w:r w:rsidR="009501E0" w:rsidRPr="009501E0">
        <w:t xml:space="preserve"> </w:t>
      </w:r>
    </w:p>
    <w:p w:rsidR="00A371E4" w:rsidRPr="009501E0" w:rsidRDefault="00A371E4" w:rsidP="00A371E4">
      <w:pPr>
        <w:pStyle w:val="ListParagraph"/>
        <w:ind w:left="1080"/>
      </w:pPr>
    </w:p>
    <w:p w:rsidR="00885B48" w:rsidRPr="00885B48" w:rsidRDefault="000E6144" w:rsidP="004D3624">
      <w:pPr>
        <w:numPr>
          <w:ilvl w:val="0"/>
          <w:numId w:val="2"/>
        </w:numPr>
        <w:ind w:left="360"/>
      </w:pPr>
      <w:r>
        <w:rPr>
          <w:u w:val="single"/>
        </w:rPr>
        <w:t>Research</w:t>
      </w:r>
      <w:r w:rsidR="00977F10" w:rsidRPr="00977F10">
        <w:rPr>
          <w:u w:val="single"/>
        </w:rPr>
        <w:t xml:space="preserve"> PCB-laden supply </w:t>
      </w:r>
      <w:r w:rsidR="00977F10">
        <w:rPr>
          <w:u w:val="single"/>
        </w:rPr>
        <w:t xml:space="preserve">well </w:t>
      </w:r>
      <w:r w:rsidR="00977F10" w:rsidRPr="00977F10">
        <w:rPr>
          <w:u w:val="single"/>
        </w:rPr>
        <w:t>pumps</w:t>
      </w:r>
      <w:r w:rsidR="00977F10">
        <w:t xml:space="preserve">. </w:t>
      </w:r>
      <w:r w:rsidR="006035DD">
        <w:t>We will d</w:t>
      </w:r>
      <w:r w:rsidR="00977F10">
        <w:t>etermine whether</w:t>
      </w:r>
      <w:r w:rsidR="002B4755">
        <w:t xml:space="preserve"> pre-1978</w:t>
      </w:r>
      <w:r w:rsidR="00977F10">
        <w:t xml:space="preserve"> </w:t>
      </w:r>
      <w:r w:rsidR="00AD61A5">
        <w:t>supply well pumps</w:t>
      </w:r>
      <w:r w:rsidR="00885B48" w:rsidRPr="00885B48">
        <w:t xml:space="preserve"> that </w:t>
      </w:r>
      <w:r w:rsidR="00977F10">
        <w:t>w</w:t>
      </w:r>
      <w:r>
        <w:t>ere fabricated using PCB coolant</w:t>
      </w:r>
      <w:r w:rsidR="00977F10">
        <w:t xml:space="preserve"> oil </w:t>
      </w:r>
      <w:r w:rsidR="00885B48" w:rsidRPr="00885B48">
        <w:t xml:space="preserve">might </w:t>
      </w:r>
      <w:r w:rsidR="00977F10">
        <w:t xml:space="preserve">be in place in the Spokane River reaches of interest. </w:t>
      </w:r>
      <w:r w:rsidR="006035DD">
        <w:t>We will c</w:t>
      </w:r>
      <w:r w:rsidR="006C1CA7">
        <w:t>ontact Spokane Regional Health District</w:t>
      </w:r>
      <w:r w:rsidR="00B86C3C">
        <w:t xml:space="preserve"> for information</w:t>
      </w:r>
      <w:r w:rsidR="006C1CA7">
        <w:t>.</w:t>
      </w:r>
    </w:p>
    <w:p w:rsidR="00885B48" w:rsidRPr="00885B48" w:rsidRDefault="00885B48" w:rsidP="004D3624"/>
    <w:p w:rsidR="00885B48" w:rsidRPr="00885B48" w:rsidRDefault="008055E8" w:rsidP="004D3624">
      <w:pPr>
        <w:numPr>
          <w:ilvl w:val="0"/>
          <w:numId w:val="2"/>
        </w:numPr>
        <w:ind w:left="360"/>
      </w:pPr>
      <w:r>
        <w:rPr>
          <w:u w:val="single"/>
        </w:rPr>
        <w:t xml:space="preserve">Research </w:t>
      </w:r>
      <w:r w:rsidR="00336B79" w:rsidRPr="00336B79">
        <w:rPr>
          <w:u w:val="single"/>
        </w:rPr>
        <w:t>Underground Injection Program (UIC)</w:t>
      </w:r>
      <w:r>
        <w:rPr>
          <w:u w:val="single"/>
        </w:rPr>
        <w:t xml:space="preserve"> wells in the area</w:t>
      </w:r>
      <w:r w:rsidR="00336B79" w:rsidRPr="007867E3">
        <w:t>.</w:t>
      </w:r>
      <w:r w:rsidR="00336B79">
        <w:t xml:space="preserve"> </w:t>
      </w:r>
      <w:r w:rsidR="006035DD">
        <w:t>We will i</w:t>
      </w:r>
      <w:r>
        <w:t>dentify</w:t>
      </w:r>
      <w:r w:rsidR="00885B48" w:rsidRPr="00885B48">
        <w:t xml:space="preserve"> </w:t>
      </w:r>
      <w:r w:rsidR="006035DD">
        <w:t xml:space="preserve">possible </w:t>
      </w:r>
      <w:r>
        <w:t xml:space="preserve">past PCB oil disposal </w:t>
      </w:r>
      <w:r w:rsidR="00885B48" w:rsidRPr="00885B48">
        <w:t>areas</w:t>
      </w:r>
      <w:r w:rsidR="00E6500F">
        <w:t xml:space="preserve"> such as dry wells located at industrial facilities which could be in hydraulic connection with groundwater</w:t>
      </w:r>
      <w:r>
        <w:t>.</w:t>
      </w:r>
      <w:r w:rsidR="00E6500F">
        <w:t xml:space="preserve"> </w:t>
      </w:r>
      <w:r w:rsidR="006035DD">
        <w:t>We will r</w:t>
      </w:r>
      <w:r w:rsidR="00E6500F">
        <w:t>eview UIC program</w:t>
      </w:r>
      <w:r w:rsidR="006035DD">
        <w:t>-</w:t>
      </w:r>
      <w:r w:rsidR="00E6500F">
        <w:t>registered wells</w:t>
      </w:r>
      <w:r w:rsidR="003A26B9">
        <w:t xml:space="preserve"> and consult with </w:t>
      </w:r>
      <w:r w:rsidR="007867E3">
        <w:t>Spokane Regional Health District</w:t>
      </w:r>
      <w:r w:rsidR="00E6500F">
        <w:t>.</w:t>
      </w:r>
      <w:r w:rsidR="00885B48" w:rsidRPr="00885B48">
        <w:t xml:space="preserve"> </w:t>
      </w:r>
    </w:p>
    <w:p w:rsidR="00841FE4" w:rsidRDefault="00841FE4" w:rsidP="00D0418A">
      <w:pPr>
        <w:rPr>
          <w:bCs/>
          <w:iCs/>
        </w:rPr>
      </w:pPr>
    </w:p>
    <w:p w:rsidR="00841FE4" w:rsidRPr="00885B48" w:rsidRDefault="00841FE4" w:rsidP="00D0418A">
      <w:pPr>
        <w:rPr>
          <w:bCs/>
          <w:iCs/>
        </w:rPr>
      </w:pPr>
      <w:r>
        <w:rPr>
          <w:bCs/>
          <w:iCs/>
        </w:rPr>
        <w:t xml:space="preserve">A </w:t>
      </w:r>
      <w:r w:rsidR="00491192">
        <w:rPr>
          <w:bCs/>
          <w:iCs/>
        </w:rPr>
        <w:t>technical memorandum</w:t>
      </w:r>
      <w:r>
        <w:rPr>
          <w:bCs/>
          <w:iCs/>
        </w:rPr>
        <w:t xml:space="preserve"> will be developed responding to the</w:t>
      </w:r>
      <w:r w:rsidR="006035DD">
        <w:rPr>
          <w:bCs/>
          <w:iCs/>
        </w:rPr>
        <w:t>se</w:t>
      </w:r>
      <w:r>
        <w:rPr>
          <w:bCs/>
          <w:iCs/>
        </w:rPr>
        <w:t xml:space="preserve"> 4 areas of investigation</w:t>
      </w:r>
      <w:r w:rsidR="006035DD">
        <w:rPr>
          <w:bCs/>
          <w:iCs/>
        </w:rPr>
        <w:t>.</w:t>
      </w:r>
    </w:p>
    <w:p w:rsidR="00B57A99" w:rsidRDefault="00B57A99" w:rsidP="004F4FE5">
      <w:pPr>
        <w:pStyle w:val="Heading1"/>
      </w:pPr>
    </w:p>
    <w:p w:rsidR="00C21291" w:rsidRDefault="00C21291" w:rsidP="004F4FE5">
      <w:pPr>
        <w:pStyle w:val="Heading1"/>
        <w:rPr>
          <w:bCs/>
          <w:i/>
          <w:iCs/>
        </w:rPr>
      </w:pPr>
      <w:r w:rsidRPr="00875F49">
        <w:t xml:space="preserve">Schedule </w:t>
      </w:r>
    </w:p>
    <w:p w:rsidR="00EA699C" w:rsidRPr="00EA699C" w:rsidRDefault="00EA699C" w:rsidP="00D0418A"/>
    <w:p w:rsidR="00BF5157" w:rsidRDefault="00F1609B" w:rsidP="00D0418A">
      <w:pPr>
        <w:rPr>
          <w:b/>
        </w:rPr>
      </w:pPr>
      <w:r>
        <w:rPr>
          <w:b/>
        </w:rPr>
        <w:t>Product</w:t>
      </w:r>
    </w:p>
    <w:p w:rsidR="00F1609B" w:rsidRPr="00F1609B" w:rsidRDefault="00F1609B" w:rsidP="00D0418A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ook w:val="01E0"/>
      </w:tblPr>
      <w:tblGrid>
        <w:gridCol w:w="3330"/>
        <w:gridCol w:w="3060"/>
        <w:gridCol w:w="2880"/>
      </w:tblGrid>
      <w:tr w:rsidR="007867E3" w:rsidTr="007867E3">
        <w:trPr>
          <w:trHeight w:hRule="exact" w:val="346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DDD"/>
            <w:vAlign w:val="center"/>
            <w:hideMark/>
          </w:tcPr>
          <w:p w:rsidR="007867E3" w:rsidRDefault="00C45295" w:rsidP="007867E3">
            <w:r>
              <w:t>Progress Report</w:t>
            </w:r>
            <w:r w:rsidR="007867E3">
              <w:t xml:space="preserve"> – Task 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7867E3" w:rsidRDefault="007867E3" w:rsidP="007867E3"/>
        </w:tc>
      </w:tr>
      <w:tr w:rsidR="007867E3" w:rsidTr="001957DA">
        <w:trPr>
          <w:trHeight w:val="305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E3" w:rsidRDefault="007867E3" w:rsidP="00C45295">
            <w:r>
              <w:t xml:space="preserve">Product lead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E3" w:rsidRDefault="007867E3" w:rsidP="007867E3">
            <w:r>
              <w:t>Martha Maggi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E1" w:rsidRDefault="007867E3" w:rsidP="007867E3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</w:tr>
      <w:tr w:rsidR="00E366E1" w:rsidTr="001957DA">
        <w:trPr>
          <w:trHeight w:val="269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E1" w:rsidRDefault="00E366E1" w:rsidP="007867E3">
            <w:r>
              <w:t>Schedule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E1" w:rsidRDefault="00E366E1" w:rsidP="007867E3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E1" w:rsidRDefault="00E366E1" w:rsidP="007867E3">
            <w:pPr>
              <w:rPr>
                <w:highlight w:val="yellow"/>
              </w:rPr>
            </w:pPr>
          </w:p>
        </w:tc>
      </w:tr>
      <w:tr w:rsidR="00E366E1" w:rsidTr="001957DA">
        <w:trPr>
          <w:trHeight w:val="341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E1" w:rsidRDefault="001957DA" w:rsidP="007867E3">
            <w:r>
              <w:t>Draft to client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E1" w:rsidRDefault="002D1588" w:rsidP="007867E3">
            <w:r>
              <w:t>January 9, 2014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E1" w:rsidRDefault="00E366E1" w:rsidP="007867E3">
            <w:pPr>
              <w:rPr>
                <w:highlight w:val="yellow"/>
              </w:rPr>
            </w:pPr>
          </w:p>
        </w:tc>
      </w:tr>
      <w:tr w:rsidR="00E366E1" w:rsidTr="001957DA">
        <w:trPr>
          <w:trHeight w:val="251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E1" w:rsidRDefault="00E366E1" w:rsidP="007867E3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E1" w:rsidRDefault="00E366E1" w:rsidP="007867E3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E1" w:rsidRDefault="00E366E1" w:rsidP="007867E3">
            <w:pPr>
              <w:rPr>
                <w:highlight w:val="yellow"/>
              </w:rPr>
            </w:pPr>
          </w:p>
        </w:tc>
      </w:tr>
      <w:tr w:rsidR="00E366E1" w:rsidTr="007867E3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E1" w:rsidRDefault="00E366E1" w:rsidP="007867E3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E1" w:rsidRDefault="00E366E1" w:rsidP="007867E3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E1" w:rsidRDefault="00E366E1" w:rsidP="007867E3">
            <w:pPr>
              <w:rPr>
                <w:highlight w:val="yellow"/>
              </w:rPr>
            </w:pPr>
          </w:p>
        </w:tc>
      </w:tr>
      <w:tr w:rsidR="006134CC" w:rsidTr="006134CC">
        <w:trPr>
          <w:trHeight w:hRule="exact" w:val="346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DDD"/>
            <w:vAlign w:val="center"/>
            <w:hideMark/>
          </w:tcPr>
          <w:p w:rsidR="006134CC" w:rsidRDefault="006134CC" w:rsidP="00D0418A">
            <w:r w:rsidRPr="001312CF">
              <w:t xml:space="preserve">Final </w:t>
            </w:r>
            <w:r w:rsidR="00BF5157" w:rsidRPr="001312CF">
              <w:t>Memo</w:t>
            </w:r>
            <w:r w:rsidR="00F52960">
              <w:t xml:space="preserve"> (will incorporate Task 1 progress report)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134CC" w:rsidRDefault="006134CC" w:rsidP="00D0418A"/>
        </w:tc>
      </w:tr>
      <w:tr w:rsidR="006134CC" w:rsidTr="001312CF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CC" w:rsidRDefault="00BF5157" w:rsidP="00C45295">
            <w:r>
              <w:t>Product</w:t>
            </w:r>
            <w:r w:rsidR="006134CC">
              <w:t xml:space="preserve"> lead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CC" w:rsidRDefault="000A0B6E" w:rsidP="00D0418A">
            <w:r>
              <w:t>Martha Maggi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CC" w:rsidRDefault="000A0B6E" w:rsidP="00D0418A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</w:tr>
      <w:tr w:rsidR="006134CC" w:rsidTr="006134CC"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CC" w:rsidRDefault="006134CC" w:rsidP="00D0418A">
            <w:r>
              <w:t>Schedule</w:t>
            </w:r>
          </w:p>
        </w:tc>
      </w:tr>
      <w:tr w:rsidR="006134CC" w:rsidTr="001312CF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CC" w:rsidRDefault="006134CC" w:rsidP="00D0418A">
            <w:r>
              <w:t>Draft due to supervisor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CC" w:rsidRPr="002D1588" w:rsidRDefault="002D1588" w:rsidP="00D0418A">
            <w:r w:rsidRPr="002D1588">
              <w:t>March</w:t>
            </w:r>
            <w:r>
              <w:t xml:space="preserve"> 31, 2015</w:t>
            </w:r>
          </w:p>
        </w:tc>
      </w:tr>
      <w:tr w:rsidR="006134CC" w:rsidTr="001312CF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CC" w:rsidRDefault="006134CC" w:rsidP="00D0418A">
            <w:r>
              <w:t>Draft due to client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CC" w:rsidRPr="002D1588" w:rsidRDefault="00CC60A3" w:rsidP="00D0418A">
            <w:r>
              <w:t>April</w:t>
            </w:r>
            <w:r w:rsidR="002D1588">
              <w:t xml:space="preserve"> 17, 2015</w:t>
            </w:r>
          </w:p>
        </w:tc>
      </w:tr>
      <w:tr w:rsidR="006134CC" w:rsidTr="001312CF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CC" w:rsidRDefault="006134CC" w:rsidP="00491192">
            <w:r>
              <w:t>Final</w:t>
            </w:r>
            <w:r w:rsidR="00BF5157">
              <w:t xml:space="preserve"> </w:t>
            </w:r>
            <w:r w:rsidR="00491192">
              <w:t>memo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CC" w:rsidRPr="002D1588" w:rsidRDefault="002D1588" w:rsidP="00D0418A">
            <w:r w:rsidRPr="002D1588">
              <w:t>April 30, 2015</w:t>
            </w:r>
          </w:p>
        </w:tc>
      </w:tr>
    </w:tbl>
    <w:p w:rsidR="00031496" w:rsidRDefault="00031496" w:rsidP="00D0418A"/>
    <w:p w:rsidR="00C96CE6" w:rsidRDefault="00C96CE6" w:rsidP="00D0418A"/>
    <w:p w:rsidR="0090260C" w:rsidRPr="00106DE3" w:rsidRDefault="0090260C" w:rsidP="00D0418A">
      <w:r w:rsidRPr="00106DE3">
        <w:t xml:space="preserve">cc:  </w:t>
      </w:r>
      <w:r w:rsidR="004A4B74" w:rsidRPr="00106DE3">
        <w:tab/>
      </w:r>
      <w:r w:rsidR="006020B9">
        <w:t>Carol Smith</w:t>
      </w:r>
    </w:p>
    <w:p w:rsidR="00031496" w:rsidRPr="00106DE3" w:rsidRDefault="00031496" w:rsidP="00D0418A">
      <w:r w:rsidRPr="00106DE3">
        <w:t xml:space="preserve">  </w:t>
      </w:r>
      <w:r w:rsidR="004A4B74" w:rsidRPr="00106DE3">
        <w:tab/>
      </w:r>
      <w:r w:rsidR="009A2A0D">
        <w:t>Melissa McCall (for Activity Tracker)</w:t>
      </w:r>
    </w:p>
    <w:sectPr w:rsidR="00031496" w:rsidRPr="00106DE3" w:rsidSect="00BC4B7E">
      <w:pgSz w:w="12240" w:h="15840" w:code="1"/>
      <w:pgMar w:top="1296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5DD" w:rsidRDefault="006035DD" w:rsidP="00D0418A"/>
  </w:endnote>
  <w:endnote w:type="continuationSeparator" w:id="0">
    <w:p w:rsidR="006035DD" w:rsidRDefault="006035DD" w:rsidP="00D0418A">
      <w:r>
        <w:t xml:space="preserve"> </w:t>
      </w:r>
    </w:p>
  </w:endnote>
  <w:endnote w:type="continuationNotice" w:id="1">
    <w:p w:rsidR="006035DD" w:rsidRDefault="006035DD" w:rsidP="00D0418A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5DD" w:rsidRDefault="006035DD" w:rsidP="00D0418A">
      <w:r>
        <w:separator/>
      </w:r>
    </w:p>
  </w:footnote>
  <w:footnote w:type="continuationSeparator" w:id="0">
    <w:p w:rsidR="006035DD" w:rsidRDefault="006035DD" w:rsidP="00D041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>
    <w:nsid w:val="280921DA"/>
    <w:multiLevelType w:val="hybridMultilevel"/>
    <w:tmpl w:val="A606CD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8C16E0"/>
    <w:multiLevelType w:val="hybridMultilevel"/>
    <w:tmpl w:val="7A4C38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DF701A"/>
    <w:multiLevelType w:val="hybridMultilevel"/>
    <w:tmpl w:val="C85E76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897A6A"/>
    <w:multiLevelType w:val="hybridMultilevel"/>
    <w:tmpl w:val="271A8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E615B5"/>
    <w:multiLevelType w:val="hybridMultilevel"/>
    <w:tmpl w:val="066A4E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382AAA"/>
    <w:multiLevelType w:val="hybridMultilevel"/>
    <w:tmpl w:val="FE2EB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/>
  <w:rsids>
    <w:rsidRoot w:val="00863341"/>
    <w:rsid w:val="000046A3"/>
    <w:rsid w:val="000121C8"/>
    <w:rsid w:val="00017F8D"/>
    <w:rsid w:val="00024EE9"/>
    <w:rsid w:val="00026831"/>
    <w:rsid w:val="00031496"/>
    <w:rsid w:val="00034536"/>
    <w:rsid w:val="00035122"/>
    <w:rsid w:val="00040975"/>
    <w:rsid w:val="00065366"/>
    <w:rsid w:val="00092831"/>
    <w:rsid w:val="000A0B6E"/>
    <w:rsid w:val="000A6858"/>
    <w:rsid w:val="000C2D94"/>
    <w:rsid w:val="000E02CA"/>
    <w:rsid w:val="000E4DE1"/>
    <w:rsid w:val="000E6144"/>
    <w:rsid w:val="000F4FA6"/>
    <w:rsid w:val="000F5AD9"/>
    <w:rsid w:val="00106DE3"/>
    <w:rsid w:val="00107F9D"/>
    <w:rsid w:val="00114283"/>
    <w:rsid w:val="0011663E"/>
    <w:rsid w:val="0012036C"/>
    <w:rsid w:val="00126285"/>
    <w:rsid w:val="001312CF"/>
    <w:rsid w:val="00160BE7"/>
    <w:rsid w:val="00162A43"/>
    <w:rsid w:val="001653B3"/>
    <w:rsid w:val="00165D14"/>
    <w:rsid w:val="00181551"/>
    <w:rsid w:val="00190EB5"/>
    <w:rsid w:val="001957DA"/>
    <w:rsid w:val="00196AD5"/>
    <w:rsid w:val="001A6377"/>
    <w:rsid w:val="001C2B65"/>
    <w:rsid w:val="001D357C"/>
    <w:rsid w:val="001E7F16"/>
    <w:rsid w:val="001F33A3"/>
    <w:rsid w:val="00202850"/>
    <w:rsid w:val="00203276"/>
    <w:rsid w:val="002300EB"/>
    <w:rsid w:val="0023274C"/>
    <w:rsid w:val="0025492D"/>
    <w:rsid w:val="00255D25"/>
    <w:rsid w:val="002708A1"/>
    <w:rsid w:val="002754DC"/>
    <w:rsid w:val="00276AE1"/>
    <w:rsid w:val="00281628"/>
    <w:rsid w:val="00285208"/>
    <w:rsid w:val="002A1767"/>
    <w:rsid w:val="002B2221"/>
    <w:rsid w:val="002B4755"/>
    <w:rsid w:val="002C1406"/>
    <w:rsid w:val="002C7D74"/>
    <w:rsid w:val="002D1588"/>
    <w:rsid w:val="002E69EF"/>
    <w:rsid w:val="002F7C38"/>
    <w:rsid w:val="003027B2"/>
    <w:rsid w:val="00305BEB"/>
    <w:rsid w:val="003124D8"/>
    <w:rsid w:val="00322CB8"/>
    <w:rsid w:val="003335BC"/>
    <w:rsid w:val="00336B79"/>
    <w:rsid w:val="0034334D"/>
    <w:rsid w:val="00367CCF"/>
    <w:rsid w:val="003851E0"/>
    <w:rsid w:val="0039369D"/>
    <w:rsid w:val="003972BB"/>
    <w:rsid w:val="003A26B9"/>
    <w:rsid w:val="003A6B8C"/>
    <w:rsid w:val="003C2BBC"/>
    <w:rsid w:val="003E6E7C"/>
    <w:rsid w:val="00400EB0"/>
    <w:rsid w:val="00401326"/>
    <w:rsid w:val="00403F6F"/>
    <w:rsid w:val="004212DB"/>
    <w:rsid w:val="00421516"/>
    <w:rsid w:val="00426761"/>
    <w:rsid w:val="00433391"/>
    <w:rsid w:val="00455E91"/>
    <w:rsid w:val="0047223B"/>
    <w:rsid w:val="00474ED5"/>
    <w:rsid w:val="004845F9"/>
    <w:rsid w:val="00484E18"/>
    <w:rsid w:val="00486540"/>
    <w:rsid w:val="00491192"/>
    <w:rsid w:val="004A4B74"/>
    <w:rsid w:val="004B098B"/>
    <w:rsid w:val="004D3624"/>
    <w:rsid w:val="004E0FB9"/>
    <w:rsid w:val="004E4F83"/>
    <w:rsid w:val="004F4FE5"/>
    <w:rsid w:val="004F7C01"/>
    <w:rsid w:val="0051595E"/>
    <w:rsid w:val="005236F4"/>
    <w:rsid w:val="00552632"/>
    <w:rsid w:val="00563D83"/>
    <w:rsid w:val="00567696"/>
    <w:rsid w:val="00576AFE"/>
    <w:rsid w:val="005938BA"/>
    <w:rsid w:val="005C0C31"/>
    <w:rsid w:val="005D6184"/>
    <w:rsid w:val="005D7D4B"/>
    <w:rsid w:val="005E69C1"/>
    <w:rsid w:val="006020B9"/>
    <w:rsid w:val="00603038"/>
    <w:rsid w:val="006035DD"/>
    <w:rsid w:val="00604BEF"/>
    <w:rsid w:val="0060653B"/>
    <w:rsid w:val="006134CC"/>
    <w:rsid w:val="00615B05"/>
    <w:rsid w:val="0063253F"/>
    <w:rsid w:val="00633CA9"/>
    <w:rsid w:val="006376CA"/>
    <w:rsid w:val="00647D20"/>
    <w:rsid w:val="00652B55"/>
    <w:rsid w:val="00667185"/>
    <w:rsid w:val="00673F78"/>
    <w:rsid w:val="00673F9D"/>
    <w:rsid w:val="006749C2"/>
    <w:rsid w:val="00681335"/>
    <w:rsid w:val="006868ED"/>
    <w:rsid w:val="00687156"/>
    <w:rsid w:val="006A4941"/>
    <w:rsid w:val="006B7376"/>
    <w:rsid w:val="006C1CA7"/>
    <w:rsid w:val="006C24AF"/>
    <w:rsid w:val="006D0DA3"/>
    <w:rsid w:val="006D6B44"/>
    <w:rsid w:val="006D7CCB"/>
    <w:rsid w:val="006F2375"/>
    <w:rsid w:val="006F3725"/>
    <w:rsid w:val="006F6FDA"/>
    <w:rsid w:val="007062B6"/>
    <w:rsid w:val="007500AF"/>
    <w:rsid w:val="00755945"/>
    <w:rsid w:val="007652DF"/>
    <w:rsid w:val="00772120"/>
    <w:rsid w:val="00777B6F"/>
    <w:rsid w:val="00782F6B"/>
    <w:rsid w:val="00785CB6"/>
    <w:rsid w:val="007867E3"/>
    <w:rsid w:val="00791A2E"/>
    <w:rsid w:val="00793D08"/>
    <w:rsid w:val="00794D8C"/>
    <w:rsid w:val="007B052D"/>
    <w:rsid w:val="007B445F"/>
    <w:rsid w:val="007C2342"/>
    <w:rsid w:val="007C6E74"/>
    <w:rsid w:val="007C7D5D"/>
    <w:rsid w:val="007D706C"/>
    <w:rsid w:val="007E3631"/>
    <w:rsid w:val="007E793A"/>
    <w:rsid w:val="007F195D"/>
    <w:rsid w:val="008055E8"/>
    <w:rsid w:val="00810A40"/>
    <w:rsid w:val="0083599A"/>
    <w:rsid w:val="00841FE4"/>
    <w:rsid w:val="00863341"/>
    <w:rsid w:val="00867A08"/>
    <w:rsid w:val="00873471"/>
    <w:rsid w:val="00875F49"/>
    <w:rsid w:val="00880D75"/>
    <w:rsid w:val="00885B48"/>
    <w:rsid w:val="00886060"/>
    <w:rsid w:val="008867F8"/>
    <w:rsid w:val="008A2656"/>
    <w:rsid w:val="008C6237"/>
    <w:rsid w:val="008C6B86"/>
    <w:rsid w:val="008D06F2"/>
    <w:rsid w:val="008E3F5D"/>
    <w:rsid w:val="00901545"/>
    <w:rsid w:val="0090260C"/>
    <w:rsid w:val="00904C4C"/>
    <w:rsid w:val="00907727"/>
    <w:rsid w:val="009114B7"/>
    <w:rsid w:val="00916C71"/>
    <w:rsid w:val="00931C07"/>
    <w:rsid w:val="00943D14"/>
    <w:rsid w:val="009462DA"/>
    <w:rsid w:val="009501E0"/>
    <w:rsid w:val="00956174"/>
    <w:rsid w:val="00961764"/>
    <w:rsid w:val="009659F7"/>
    <w:rsid w:val="0097726A"/>
    <w:rsid w:val="00977F10"/>
    <w:rsid w:val="00984AC3"/>
    <w:rsid w:val="00991AB1"/>
    <w:rsid w:val="00996008"/>
    <w:rsid w:val="00997CAA"/>
    <w:rsid w:val="009A2A0D"/>
    <w:rsid w:val="009B40AC"/>
    <w:rsid w:val="009C13E2"/>
    <w:rsid w:val="009C4327"/>
    <w:rsid w:val="009D32BC"/>
    <w:rsid w:val="009E1124"/>
    <w:rsid w:val="009E2F72"/>
    <w:rsid w:val="009F6FE6"/>
    <w:rsid w:val="00A1134C"/>
    <w:rsid w:val="00A117EA"/>
    <w:rsid w:val="00A229E6"/>
    <w:rsid w:val="00A248D3"/>
    <w:rsid w:val="00A32936"/>
    <w:rsid w:val="00A371E4"/>
    <w:rsid w:val="00A42D1B"/>
    <w:rsid w:val="00A45966"/>
    <w:rsid w:val="00A506B9"/>
    <w:rsid w:val="00A8586C"/>
    <w:rsid w:val="00A91C15"/>
    <w:rsid w:val="00A91CE4"/>
    <w:rsid w:val="00AB18E9"/>
    <w:rsid w:val="00AB5F34"/>
    <w:rsid w:val="00AD08B7"/>
    <w:rsid w:val="00AD61A5"/>
    <w:rsid w:val="00AF46E3"/>
    <w:rsid w:val="00B045C9"/>
    <w:rsid w:val="00B13D38"/>
    <w:rsid w:val="00B20BC2"/>
    <w:rsid w:val="00B358C4"/>
    <w:rsid w:val="00B57951"/>
    <w:rsid w:val="00B57A99"/>
    <w:rsid w:val="00B6716D"/>
    <w:rsid w:val="00B710C8"/>
    <w:rsid w:val="00B713EB"/>
    <w:rsid w:val="00B71B25"/>
    <w:rsid w:val="00B805E7"/>
    <w:rsid w:val="00B86C3C"/>
    <w:rsid w:val="00BA0A83"/>
    <w:rsid w:val="00BA71A4"/>
    <w:rsid w:val="00BB0887"/>
    <w:rsid w:val="00BC4B7E"/>
    <w:rsid w:val="00BC5090"/>
    <w:rsid w:val="00BD02E1"/>
    <w:rsid w:val="00BE189E"/>
    <w:rsid w:val="00BE2072"/>
    <w:rsid w:val="00BE25D2"/>
    <w:rsid w:val="00BE726E"/>
    <w:rsid w:val="00BF3999"/>
    <w:rsid w:val="00BF5157"/>
    <w:rsid w:val="00C00EC6"/>
    <w:rsid w:val="00C044F7"/>
    <w:rsid w:val="00C07217"/>
    <w:rsid w:val="00C07470"/>
    <w:rsid w:val="00C13051"/>
    <w:rsid w:val="00C21291"/>
    <w:rsid w:val="00C329F9"/>
    <w:rsid w:val="00C45295"/>
    <w:rsid w:val="00C544B0"/>
    <w:rsid w:val="00C85078"/>
    <w:rsid w:val="00C85270"/>
    <w:rsid w:val="00C87D61"/>
    <w:rsid w:val="00C92BD7"/>
    <w:rsid w:val="00C967B6"/>
    <w:rsid w:val="00C96CE6"/>
    <w:rsid w:val="00CA7812"/>
    <w:rsid w:val="00CB629A"/>
    <w:rsid w:val="00CC6069"/>
    <w:rsid w:val="00CC60A3"/>
    <w:rsid w:val="00CC7DF9"/>
    <w:rsid w:val="00CD7C6B"/>
    <w:rsid w:val="00CE357D"/>
    <w:rsid w:val="00CE6BDF"/>
    <w:rsid w:val="00CF18D9"/>
    <w:rsid w:val="00CF1A43"/>
    <w:rsid w:val="00D03B0C"/>
    <w:rsid w:val="00D0418A"/>
    <w:rsid w:val="00D15165"/>
    <w:rsid w:val="00D4268E"/>
    <w:rsid w:val="00D42753"/>
    <w:rsid w:val="00D5272A"/>
    <w:rsid w:val="00D567B9"/>
    <w:rsid w:val="00D67370"/>
    <w:rsid w:val="00D82655"/>
    <w:rsid w:val="00D84180"/>
    <w:rsid w:val="00D84E53"/>
    <w:rsid w:val="00DA5B52"/>
    <w:rsid w:val="00DB6B13"/>
    <w:rsid w:val="00DC1BD3"/>
    <w:rsid w:val="00DC5382"/>
    <w:rsid w:val="00DC53DF"/>
    <w:rsid w:val="00DC68AD"/>
    <w:rsid w:val="00DC7DFC"/>
    <w:rsid w:val="00DD3FA8"/>
    <w:rsid w:val="00E017CE"/>
    <w:rsid w:val="00E1174D"/>
    <w:rsid w:val="00E253F7"/>
    <w:rsid w:val="00E305E0"/>
    <w:rsid w:val="00E366E1"/>
    <w:rsid w:val="00E42B84"/>
    <w:rsid w:val="00E46756"/>
    <w:rsid w:val="00E519FA"/>
    <w:rsid w:val="00E51C07"/>
    <w:rsid w:val="00E53039"/>
    <w:rsid w:val="00E56546"/>
    <w:rsid w:val="00E567D6"/>
    <w:rsid w:val="00E6500F"/>
    <w:rsid w:val="00E657E9"/>
    <w:rsid w:val="00E82119"/>
    <w:rsid w:val="00E9071A"/>
    <w:rsid w:val="00EA1930"/>
    <w:rsid w:val="00EA2D17"/>
    <w:rsid w:val="00EA699C"/>
    <w:rsid w:val="00EB3207"/>
    <w:rsid w:val="00F14A3B"/>
    <w:rsid w:val="00F1609B"/>
    <w:rsid w:val="00F16E46"/>
    <w:rsid w:val="00F23E77"/>
    <w:rsid w:val="00F34118"/>
    <w:rsid w:val="00F42584"/>
    <w:rsid w:val="00F52960"/>
    <w:rsid w:val="00F56208"/>
    <w:rsid w:val="00F65D79"/>
    <w:rsid w:val="00FA031C"/>
    <w:rsid w:val="00FC4093"/>
    <w:rsid w:val="00FC64CE"/>
    <w:rsid w:val="00FE31D3"/>
    <w:rsid w:val="00FF2DC0"/>
    <w:rsid w:val="00FF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418A"/>
    <w:pPr>
      <w:widowControl w:val="0"/>
      <w:autoSpaceDE w:val="0"/>
      <w:autoSpaceDN w:val="0"/>
      <w:adjustRightInd w:val="0"/>
    </w:pPr>
    <w:rPr>
      <w:noProof/>
      <w:kern w:val="28"/>
      <w:sz w:val="24"/>
      <w:szCs w:val="24"/>
    </w:rPr>
  </w:style>
  <w:style w:type="paragraph" w:styleId="Heading1">
    <w:name w:val="heading 1"/>
    <w:basedOn w:val="Normal"/>
    <w:next w:val="Normal"/>
    <w:qFormat/>
    <w:rsid w:val="004F4FE5"/>
    <w:pPr>
      <w:keepNext/>
      <w:widowControl/>
      <w:tabs>
        <w:tab w:val="left" w:pos="-1440"/>
        <w:tab w:val="left" w:pos="-720"/>
        <w:tab w:val="left" w:pos="0"/>
        <w:tab w:val="left" w:pos="452"/>
        <w:tab w:val="left" w:pos="1440"/>
      </w:tabs>
      <w:autoSpaceDE/>
      <w:autoSpaceDN/>
      <w:adjustRightInd/>
      <w:spacing w:before="60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C212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82655"/>
  </w:style>
  <w:style w:type="character" w:styleId="EndnoteReference">
    <w:name w:val="endnote reference"/>
    <w:basedOn w:val="DefaultParagraphFont"/>
    <w:semiHidden/>
    <w:rsid w:val="00D82655"/>
    <w:rPr>
      <w:vertAlign w:val="superscript"/>
    </w:rPr>
  </w:style>
  <w:style w:type="paragraph" w:styleId="FootnoteText">
    <w:name w:val="footnote text"/>
    <w:basedOn w:val="Normal"/>
    <w:semiHidden/>
    <w:rsid w:val="00D82655"/>
  </w:style>
  <w:style w:type="character" w:styleId="FootnoteReference">
    <w:name w:val="footnote reference"/>
    <w:basedOn w:val="DefaultParagraphFont"/>
    <w:semiHidden/>
    <w:rsid w:val="00D82655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D82655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D82655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rsid w:val="00D82655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rsid w:val="00D82655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rsid w:val="00D82655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rsid w:val="00D82655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D82655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D82655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D82655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D82655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rsid w:val="00D82655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rsid w:val="00D82655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D82655"/>
  </w:style>
  <w:style w:type="character" w:customStyle="1" w:styleId="EquationCaption">
    <w:name w:val="_Equation Caption"/>
    <w:rsid w:val="00D82655"/>
  </w:style>
  <w:style w:type="table" w:styleId="TableGrid">
    <w:name w:val="Table Grid"/>
    <w:basedOn w:val="TableNormal"/>
    <w:rsid w:val="00C21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31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149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92831"/>
    <w:pPr>
      <w:widowControl/>
      <w:autoSpaceDE/>
      <w:autoSpaceDN/>
      <w:adjustRightInd/>
    </w:pPr>
    <w:rPr>
      <w:color w:val="0000FF"/>
    </w:rPr>
  </w:style>
  <w:style w:type="character" w:customStyle="1" w:styleId="PlainTextChar">
    <w:name w:val="Plain Text Char"/>
    <w:basedOn w:val="DefaultParagraphFont"/>
    <w:link w:val="PlainText"/>
    <w:rsid w:val="00092831"/>
    <w:rPr>
      <w:color w:val="0000FF"/>
      <w:sz w:val="24"/>
      <w:szCs w:val="24"/>
    </w:rPr>
  </w:style>
  <w:style w:type="paragraph" w:styleId="Header">
    <w:name w:val="header"/>
    <w:basedOn w:val="Normal"/>
    <w:link w:val="HeaderChar"/>
    <w:uiPriority w:val="99"/>
    <w:rsid w:val="004E0F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FB9"/>
    <w:rPr>
      <w:noProof/>
      <w:kern w:val="28"/>
      <w:sz w:val="24"/>
      <w:szCs w:val="24"/>
    </w:rPr>
  </w:style>
  <w:style w:type="paragraph" w:styleId="Footer">
    <w:name w:val="footer"/>
    <w:basedOn w:val="Normal"/>
    <w:link w:val="FooterChar"/>
    <w:rsid w:val="004E0F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E0FB9"/>
    <w:rPr>
      <w:noProof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63253F"/>
    <w:pPr>
      <w:ind w:left="720"/>
      <w:contextualSpacing/>
    </w:pPr>
  </w:style>
  <w:style w:type="character" w:styleId="CommentReference">
    <w:name w:val="annotation reference"/>
    <w:basedOn w:val="DefaultParagraphFont"/>
    <w:rsid w:val="00C967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67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67B6"/>
    <w:rPr>
      <w:noProof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C967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67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758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Work Plan Memo</vt:lpstr>
    </vt:vector>
  </TitlesOfParts>
  <Company>Dept of Ecology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Work Plan:  Assessment of PCBs in Spokane Valley Groundwater</dc:title>
  <dc:creator>Maggi, M.</dc:creator>
  <cp:lastModifiedBy>Jean Maust</cp:lastModifiedBy>
  <cp:revision>3</cp:revision>
  <cp:lastPrinted>2009-09-02T16:33:00Z</cp:lastPrinted>
  <dcterms:created xsi:type="dcterms:W3CDTF">2015-01-09T22:05:00Z</dcterms:created>
  <dcterms:modified xsi:type="dcterms:W3CDTF">2015-01-13T18:26:00Z</dcterms:modified>
</cp:coreProperties>
</file>