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4E" w:rsidRDefault="00CB3F4E" w:rsidP="00CB3F4E">
      <w:pPr>
        <w:pStyle w:val="Title"/>
      </w:pPr>
      <w:bookmarkStart w:id="0" w:name="_GoBack"/>
      <w:bookmarkEnd w:id="0"/>
      <w:r>
        <w:t>PCB Product Sampling QAPP Addendum</w:t>
      </w:r>
      <w:r>
        <w:tab/>
      </w:r>
    </w:p>
    <w:p w:rsidR="00CB3F4E" w:rsidRDefault="00CB3F4E" w:rsidP="00CB3F4E">
      <w:pPr>
        <w:pStyle w:val="Subtitle"/>
      </w:pPr>
      <w:r>
        <w:tab/>
        <w:t>Supplemental Product Sampling</w:t>
      </w:r>
      <w:r w:rsidR="00C020E4">
        <w:t xml:space="preserve">: Spokane River Regional Toxics Task Force </w:t>
      </w:r>
    </w:p>
    <w:p w:rsidR="00CB3F4E" w:rsidRDefault="00CB3F4E" w:rsidP="00CB3F4E">
      <w:r>
        <w:tab/>
      </w:r>
      <w:r w:rsidR="00C90737">
        <w:t xml:space="preserve">Prepared by </w:t>
      </w:r>
      <w:r>
        <w:t>City of Spokane Wastewater Management Department</w:t>
      </w:r>
    </w:p>
    <w:p w:rsidR="00CB3F4E" w:rsidRDefault="00EE36B8" w:rsidP="00CB3F4E">
      <w:r>
        <w:tab/>
        <w:t>March</w:t>
      </w:r>
      <w:r w:rsidR="00CB3F4E">
        <w:t xml:space="preserve"> 2015</w:t>
      </w:r>
    </w:p>
    <w:p w:rsidR="00CB3F4E" w:rsidRDefault="00CB3F4E" w:rsidP="00CB3F4E">
      <w:pPr>
        <w:pStyle w:val="Heading2"/>
        <w:numPr>
          <w:ilvl w:val="0"/>
          <w:numId w:val="0"/>
        </w:numPr>
      </w:pPr>
      <w:r>
        <w:t>Background</w:t>
      </w:r>
    </w:p>
    <w:p w:rsidR="00CB3F4E" w:rsidRDefault="00CB3F4E" w:rsidP="00CB3F4E">
      <w:r>
        <w:t>The City of Spokane recently performed PCB product sampling under a Department of Ecology Grant of Regional or Statewide Significance</w:t>
      </w:r>
      <w:r w:rsidR="00063035">
        <w:t xml:space="preserve"> (GRSS)</w:t>
      </w:r>
      <w:r>
        <w:t xml:space="preserve">, number G1400545.  Product sampling followed the procedures in the approved Quality Assurance Project Plan, Polychlorinated Biphenyls in Municipal Products, prepared by LimnoTech, August 5, 2014.  Additional sampling beyond the scope of the grant will be performed </w:t>
      </w:r>
      <w:r w:rsidR="00A75A72">
        <w:t xml:space="preserve">to help further understand the sources and content of PCBs in </w:t>
      </w:r>
      <w:r w:rsidR="009D5DDB">
        <w:t xml:space="preserve">products.  </w:t>
      </w:r>
    </w:p>
    <w:p w:rsidR="009D5DDB" w:rsidRDefault="009D5DDB" w:rsidP="009D5DDB">
      <w:pPr>
        <w:pStyle w:val="Heading2"/>
        <w:numPr>
          <w:ilvl w:val="0"/>
          <w:numId w:val="0"/>
        </w:numPr>
      </w:pPr>
      <w:r>
        <w:t>Description of Additional Studies</w:t>
      </w:r>
    </w:p>
    <w:p w:rsidR="009D5DDB" w:rsidRDefault="00C020E4" w:rsidP="009D5DDB">
      <w:r>
        <w:t xml:space="preserve">The Spokane River Regional Toxics Task Force has authorized studies that </w:t>
      </w:r>
      <w:r w:rsidR="00063035">
        <w:t xml:space="preserve">supplement the work performed under the City’s GRSS Grant.  The objective of these efforts is to further identify the sources of PCBs in products and components of products.  This work will assist manufacturers in producing lower-PCB alternatives for the State and City to purchase, therefore reducing the amount of PCBs imported to our watersheds.      </w:t>
      </w:r>
    </w:p>
    <w:p w:rsidR="009532DA" w:rsidRDefault="009532DA" w:rsidP="009D5DDB"/>
    <w:p w:rsidR="009532DA" w:rsidRPr="009D5DDB" w:rsidRDefault="009532DA" w:rsidP="009D5DDB">
      <w:r>
        <w:t xml:space="preserve">The first samples to be collected will include various brands of hydroseed </w:t>
      </w:r>
      <w:r w:rsidR="00063035">
        <w:t>and their associated components.  Some of the components to be sampled will include items such as dye, surfactant, and water used in the manufacturing process</w:t>
      </w:r>
      <w:r>
        <w:t>.</w:t>
      </w:r>
      <w:r w:rsidR="00063035">
        <w:t xml:space="preserve">  </w:t>
      </w:r>
      <w:r w:rsidR="00FF16E2">
        <w:t xml:space="preserve">Other products may be sampled, including items such as </w:t>
      </w:r>
      <w:proofErr w:type="spellStart"/>
      <w:r w:rsidR="00FF16E2">
        <w:t>tackifiers</w:t>
      </w:r>
      <w:proofErr w:type="spellEnd"/>
      <w:r w:rsidR="00FF16E2">
        <w:t xml:space="preserve"> and different formulations of 2</w:t>
      </w:r>
      <w:proofErr w:type="gramStart"/>
      <w:r w:rsidR="00FF16E2">
        <w:t>,4</w:t>
      </w:r>
      <w:proofErr w:type="gramEnd"/>
      <w:r w:rsidR="00FF16E2">
        <w:t xml:space="preserve">-D, as funding allows.    </w:t>
      </w:r>
      <w:r>
        <w:t xml:space="preserve">  </w:t>
      </w:r>
    </w:p>
    <w:p w:rsidR="00E83A04" w:rsidRDefault="00E83A04" w:rsidP="00E83A04">
      <w:pPr>
        <w:pStyle w:val="Heading2"/>
        <w:numPr>
          <w:ilvl w:val="0"/>
          <w:numId w:val="0"/>
        </w:numPr>
      </w:pPr>
      <w:r>
        <w:t>Sampling, Measurement, and Quality Control Procedures</w:t>
      </w:r>
    </w:p>
    <w:p w:rsidR="00B55CDC" w:rsidRDefault="00B55CDC" w:rsidP="009D5DDB">
      <w:r>
        <w:t xml:space="preserve">Sampling will be performed by the manufacturer in many cases.  A copy of the QAPP and this addendum will be sent to the sampler to ensure proper collection.  </w:t>
      </w:r>
    </w:p>
    <w:p w:rsidR="00B55CDC" w:rsidRDefault="00B55CDC" w:rsidP="009D5DDB"/>
    <w:p w:rsidR="00B55CDC" w:rsidRDefault="009532DA" w:rsidP="009D5DDB">
      <w:r>
        <w:t xml:space="preserve">The </w:t>
      </w:r>
      <w:r w:rsidR="00267C0E" w:rsidRPr="00B55CDC">
        <w:rPr>
          <w:rStyle w:val="IntenseReference"/>
        </w:rPr>
        <w:t>Sampling Procedures</w:t>
      </w:r>
      <w:r w:rsidR="00B55CDC" w:rsidRPr="00B55CDC">
        <w:rPr>
          <w:rStyle w:val="IntenseReference"/>
        </w:rPr>
        <w:t xml:space="preserve"> </w:t>
      </w:r>
      <w:r w:rsidR="00B55CDC">
        <w:t>in Section 6 of the QAPP will be followed for sample collection, with the following exceptions:</w:t>
      </w:r>
    </w:p>
    <w:p w:rsidR="00B55CDC" w:rsidRDefault="00B55CDC" w:rsidP="00B55CDC">
      <w:pPr>
        <w:pStyle w:val="ListParagraph"/>
        <w:numPr>
          <w:ilvl w:val="0"/>
          <w:numId w:val="5"/>
        </w:numPr>
      </w:pPr>
      <w:r>
        <w:t xml:space="preserve">Because manufacturers may not have the standard sampling equipment on hand, the contract laboratory will prepare and ship sampling kits including coolers, sample instructions, gloves, laboratory-prepared sample jars, and chain of custody to the sampler.  </w:t>
      </w:r>
    </w:p>
    <w:p w:rsidR="00B55CDC" w:rsidRDefault="00B55CDC" w:rsidP="00B55CDC">
      <w:pPr>
        <w:pStyle w:val="ListParagraph"/>
        <w:numPr>
          <w:ilvl w:val="0"/>
          <w:numId w:val="5"/>
        </w:numPr>
      </w:pPr>
      <w:r>
        <w:t>Sample labeling:  Samples will be labeled by the sampler at the time of sample collection using the following format:</w:t>
      </w:r>
    </w:p>
    <w:p w:rsidR="00B55CDC" w:rsidRDefault="00B55CDC" w:rsidP="00B55CDC">
      <w:pPr>
        <w:pStyle w:val="ListParagraph"/>
        <w:numPr>
          <w:ilvl w:val="1"/>
          <w:numId w:val="5"/>
        </w:numPr>
      </w:pPr>
      <w:r>
        <w:t>Manufacturer ID – Product ID – collection date (MMDDYY) – collection time (military).</w:t>
      </w:r>
    </w:p>
    <w:p w:rsidR="009E30E7" w:rsidRDefault="009E30E7" w:rsidP="009E30E7">
      <w:pPr>
        <w:pStyle w:val="ListParagraph"/>
        <w:numPr>
          <w:ilvl w:val="2"/>
          <w:numId w:val="5"/>
        </w:numPr>
      </w:pPr>
      <w:r>
        <w:t>Example: XYZ Manufacturing collected a sample of their dye on March 17, 2015 at 3:00 in the afternoon.  The sample would be labeled XYZ-dye-030715-1500</w:t>
      </w:r>
    </w:p>
    <w:p w:rsidR="007B070B" w:rsidRDefault="00B55CDC" w:rsidP="00B55CDC">
      <w:pPr>
        <w:pStyle w:val="ListParagraph"/>
        <w:numPr>
          <w:ilvl w:val="2"/>
          <w:numId w:val="5"/>
        </w:numPr>
      </w:pPr>
      <w:r>
        <w:t xml:space="preserve">The Manufacturer and Product ID codes will be </w:t>
      </w:r>
      <w:r w:rsidR="009E30E7">
        <w:t xml:space="preserve">chosen </w:t>
      </w:r>
      <w:r>
        <w:t xml:space="preserve">by the sampler </w:t>
      </w:r>
      <w:r w:rsidR="009E30E7">
        <w:t xml:space="preserve">and a written description will be </w:t>
      </w:r>
      <w:r w:rsidR="00016D58">
        <w:t xml:space="preserve">sent </w:t>
      </w:r>
      <w:r w:rsidR="009E30E7">
        <w:t>to the contract laboratory</w:t>
      </w:r>
      <w:r w:rsidR="00016D58">
        <w:t xml:space="preserve"> with the samples</w:t>
      </w:r>
      <w:r w:rsidR="009E30E7">
        <w:t>.</w:t>
      </w:r>
      <w:r w:rsidR="00016D58">
        <w:t xml:space="preserve">  </w:t>
      </w:r>
    </w:p>
    <w:p w:rsidR="00B55CDC" w:rsidRDefault="009E30E7" w:rsidP="007B070B">
      <w:r>
        <w:t xml:space="preserve">  </w:t>
      </w:r>
    </w:p>
    <w:p w:rsidR="007B070B" w:rsidRDefault="007B070B" w:rsidP="009D5DDB">
      <w:r>
        <w:t xml:space="preserve">The </w:t>
      </w:r>
      <w:r>
        <w:rPr>
          <w:rStyle w:val="IntenseReference"/>
        </w:rPr>
        <w:t>Measurement</w:t>
      </w:r>
      <w:r w:rsidRPr="00B55CDC">
        <w:rPr>
          <w:rStyle w:val="IntenseReference"/>
        </w:rPr>
        <w:t xml:space="preserve"> Procedures </w:t>
      </w:r>
      <w:r>
        <w:t xml:space="preserve">in Section 7 of the QAPP </w:t>
      </w:r>
      <w:r w:rsidR="00826003">
        <w:t xml:space="preserve">originally included only EPA Method 1668, which gives results for all 209 PCB congeners to a very low detection limit, but is more costly.  Based on funding and the need for less expensive screening-level testing, sampling for the SRRTTF study </w:t>
      </w:r>
      <w:r>
        <w:t xml:space="preserve">may </w:t>
      </w:r>
      <w:r w:rsidR="00826003">
        <w:t xml:space="preserve">be performed using </w:t>
      </w:r>
      <w:r>
        <w:t xml:space="preserve"> </w:t>
      </w:r>
      <w:r>
        <w:lastRenderedPageBreak/>
        <w:t>EPA Method 8270D  GC/LRMS (EPA, 1994</w:t>
      </w:r>
      <w:r w:rsidR="00FF662A">
        <w:t>)</w:t>
      </w:r>
      <w:r>
        <w:t>, 8081 modified by EPA 625 (</w:t>
      </w:r>
      <w:proofErr w:type="spellStart"/>
      <w:r>
        <w:t>Axys</w:t>
      </w:r>
      <w:proofErr w:type="spellEnd"/>
      <w:r>
        <w:t xml:space="preserve"> in-house method MLA-007). </w:t>
      </w:r>
      <w:r w:rsidR="00826003">
        <w:t xml:space="preserve"> This method gives results for the 209 PCB congeners, but at a higher detection limit and lower cost.  </w:t>
      </w:r>
      <w:r w:rsidR="00FF662A">
        <w:t>The preferred method of analysis will be denoted on the sample chain of custody.  The following tables supplement the associated tables in the QAPP specifying laboratory methods and quality objectives:</w:t>
      </w:r>
    </w:p>
    <w:p w:rsidR="00FF662A" w:rsidRDefault="00FF662A" w:rsidP="009D5DDB"/>
    <w:p w:rsidR="00FF662A" w:rsidRPr="00754509" w:rsidRDefault="00FF662A" w:rsidP="00FF662A">
      <w:pPr>
        <w:pStyle w:val="Caption"/>
        <w:rPr>
          <w:rFonts w:asciiTheme="majorHAnsi" w:hAnsiTheme="majorHAnsi"/>
          <w:b w:val="0"/>
          <w:sz w:val="22"/>
          <w:szCs w:val="22"/>
        </w:rPr>
      </w:pPr>
      <w:bookmarkStart w:id="1" w:name="_Toc390774662"/>
      <w:bookmarkStart w:id="2" w:name="_Toc390774668"/>
      <w:proofErr w:type="gramStart"/>
      <w:r>
        <w:t xml:space="preserve">Supplemented QAPP Table </w:t>
      </w:r>
      <w:r w:rsidR="00B71A5D">
        <w:fldChar w:fldCharType="begin"/>
      </w:r>
      <w:r w:rsidR="00822F48">
        <w:instrText xml:space="preserve"> SEQ Table \* ARABIC </w:instrText>
      </w:r>
      <w:r w:rsidR="00B71A5D">
        <w:fldChar w:fldCharType="separate"/>
      </w:r>
      <w:r>
        <w:rPr>
          <w:noProof/>
        </w:rPr>
        <w:t>4</w:t>
      </w:r>
      <w:r w:rsidR="00B71A5D">
        <w:rPr>
          <w:noProof/>
        </w:rPr>
        <w:fldChar w:fldCharType="end"/>
      </w:r>
      <w:r w:rsidRPr="00754509">
        <w:rPr>
          <w:rFonts w:asciiTheme="majorHAnsi" w:hAnsiTheme="majorHAnsi"/>
          <w:sz w:val="22"/>
          <w:szCs w:val="22"/>
        </w:rPr>
        <w:t>.</w:t>
      </w:r>
      <w:proofErr w:type="gramEnd"/>
      <w:r w:rsidRPr="00754509">
        <w:rPr>
          <w:rFonts w:asciiTheme="majorHAnsi" w:hAnsiTheme="majorHAnsi"/>
          <w:sz w:val="22"/>
          <w:szCs w:val="22"/>
        </w:rPr>
        <w:t xml:space="preserve"> </w:t>
      </w:r>
      <w:r>
        <w:t>Measurement Quality Objectives</w:t>
      </w:r>
      <w:bookmarkEnd w:id="1"/>
    </w:p>
    <w:tbl>
      <w:tblPr>
        <w:tblStyle w:val="LightList-Accent11"/>
        <w:tblW w:w="4944" w:type="pct"/>
        <w:jc w:val="center"/>
        <w:tblInd w:w="41" w:type="dxa"/>
        <w:tblLayout w:type="fixed"/>
        <w:tblLook w:val="04A0"/>
      </w:tblPr>
      <w:tblGrid>
        <w:gridCol w:w="1172"/>
        <w:gridCol w:w="953"/>
        <w:gridCol w:w="1159"/>
        <w:gridCol w:w="1089"/>
        <w:gridCol w:w="1087"/>
        <w:gridCol w:w="1174"/>
        <w:gridCol w:w="1422"/>
        <w:gridCol w:w="1413"/>
      </w:tblGrid>
      <w:tr w:rsidR="008958D0" w:rsidRPr="004B334B" w:rsidTr="00CC4726">
        <w:trPr>
          <w:cnfStyle w:val="100000000000"/>
          <w:trHeight w:val="1087"/>
          <w:jc w:val="center"/>
        </w:trPr>
        <w:tc>
          <w:tcPr>
            <w:cnfStyle w:val="001000000000"/>
            <w:tcW w:w="619" w:type="pct"/>
            <w:shd w:val="clear" w:color="auto" w:fill="1F497D" w:themeFill="text2"/>
            <w:vAlign w:val="center"/>
          </w:tcPr>
          <w:p w:rsidR="008958D0" w:rsidRPr="001E2734" w:rsidRDefault="008958D0" w:rsidP="00FF662A">
            <w:pPr>
              <w:pStyle w:val="BodyText0"/>
              <w:spacing w:before="0" w:after="0"/>
              <w:jc w:val="center"/>
              <w:rPr>
                <w:rFonts w:ascii="Arial Narrow" w:hAnsi="Arial Narrow"/>
                <w:sz w:val="18"/>
                <w:szCs w:val="18"/>
              </w:rPr>
            </w:pPr>
            <w:r w:rsidRPr="001E2734">
              <w:rPr>
                <w:rFonts w:ascii="Arial Narrow" w:hAnsi="Arial Narrow"/>
                <w:sz w:val="18"/>
                <w:szCs w:val="18"/>
              </w:rPr>
              <w:t>Analyte</w:t>
            </w:r>
          </w:p>
        </w:tc>
        <w:tc>
          <w:tcPr>
            <w:tcW w:w="503" w:type="pct"/>
            <w:shd w:val="clear" w:color="auto" w:fill="1F497D" w:themeFill="text2"/>
            <w:vAlign w:val="center"/>
          </w:tcPr>
          <w:p w:rsidR="008958D0" w:rsidRPr="004B334B" w:rsidRDefault="008958D0" w:rsidP="00FF662A">
            <w:pPr>
              <w:pStyle w:val="BodyText0"/>
              <w:spacing w:before="0" w:after="0"/>
              <w:jc w:val="center"/>
              <w:cnfStyle w:val="100000000000"/>
              <w:rPr>
                <w:rFonts w:ascii="Arial Narrow" w:hAnsi="Arial Narrow"/>
                <w:sz w:val="18"/>
                <w:szCs w:val="18"/>
              </w:rPr>
            </w:pPr>
            <w:r>
              <w:rPr>
                <w:rFonts w:ascii="Arial Narrow" w:hAnsi="Arial Narrow"/>
                <w:sz w:val="18"/>
                <w:szCs w:val="18"/>
              </w:rPr>
              <w:t>Analytical Method</w:t>
            </w:r>
          </w:p>
        </w:tc>
        <w:tc>
          <w:tcPr>
            <w:tcW w:w="612" w:type="pct"/>
            <w:shd w:val="clear" w:color="auto" w:fill="1F497D" w:themeFill="text2"/>
            <w:vAlign w:val="center"/>
          </w:tcPr>
          <w:p w:rsidR="008958D0" w:rsidRPr="004B334B" w:rsidRDefault="008958D0" w:rsidP="00FF662A">
            <w:pPr>
              <w:pStyle w:val="BodyText0"/>
              <w:spacing w:before="0" w:after="0"/>
              <w:jc w:val="center"/>
              <w:cnfStyle w:val="100000000000"/>
              <w:rPr>
                <w:rFonts w:ascii="Arial Narrow" w:hAnsi="Arial Narrow"/>
                <w:sz w:val="18"/>
                <w:szCs w:val="18"/>
              </w:rPr>
            </w:pPr>
            <w:r>
              <w:rPr>
                <w:rFonts w:ascii="Arial Narrow" w:hAnsi="Arial Narrow"/>
                <w:sz w:val="18"/>
                <w:szCs w:val="18"/>
              </w:rPr>
              <w:t>Daily Calibration Verification</w:t>
            </w:r>
          </w:p>
        </w:tc>
        <w:tc>
          <w:tcPr>
            <w:tcW w:w="575" w:type="pct"/>
            <w:shd w:val="clear" w:color="auto" w:fill="1F497D" w:themeFill="text2"/>
            <w:vAlign w:val="center"/>
          </w:tcPr>
          <w:p w:rsidR="008958D0" w:rsidRPr="004B334B" w:rsidRDefault="008958D0" w:rsidP="00FF662A">
            <w:pPr>
              <w:pStyle w:val="BodyText0"/>
              <w:spacing w:before="0" w:after="0"/>
              <w:jc w:val="center"/>
              <w:cnfStyle w:val="100000000000"/>
              <w:rPr>
                <w:rFonts w:ascii="Arial Narrow" w:hAnsi="Arial Narrow"/>
                <w:sz w:val="18"/>
                <w:szCs w:val="18"/>
              </w:rPr>
            </w:pPr>
            <w:r>
              <w:rPr>
                <w:rFonts w:ascii="Arial Narrow" w:hAnsi="Arial Narrow"/>
                <w:sz w:val="18"/>
                <w:szCs w:val="18"/>
              </w:rPr>
              <w:t>Laboratory Control Samples</w:t>
            </w:r>
          </w:p>
        </w:tc>
        <w:tc>
          <w:tcPr>
            <w:tcW w:w="574" w:type="pct"/>
            <w:shd w:val="clear" w:color="auto" w:fill="1F497D" w:themeFill="text2"/>
            <w:vAlign w:val="center"/>
          </w:tcPr>
          <w:p w:rsidR="008958D0" w:rsidRPr="004B334B" w:rsidRDefault="008958D0" w:rsidP="00FF662A">
            <w:pPr>
              <w:pStyle w:val="BodyText0"/>
              <w:spacing w:before="0" w:after="0"/>
              <w:jc w:val="center"/>
              <w:cnfStyle w:val="100000000000"/>
              <w:rPr>
                <w:rFonts w:ascii="Arial Narrow" w:hAnsi="Arial Narrow"/>
                <w:sz w:val="18"/>
                <w:szCs w:val="18"/>
              </w:rPr>
            </w:pPr>
            <w:r>
              <w:rPr>
                <w:rFonts w:ascii="Arial Narrow" w:hAnsi="Arial Narrow"/>
                <w:sz w:val="18"/>
                <w:szCs w:val="18"/>
              </w:rPr>
              <w:t>Surrogate Recovery</w:t>
            </w:r>
          </w:p>
        </w:tc>
        <w:tc>
          <w:tcPr>
            <w:tcW w:w="620" w:type="pct"/>
            <w:shd w:val="clear" w:color="auto" w:fill="1F497D" w:themeFill="text2"/>
            <w:vAlign w:val="center"/>
          </w:tcPr>
          <w:p w:rsidR="008958D0" w:rsidRPr="004B334B" w:rsidRDefault="008958D0" w:rsidP="00FF662A">
            <w:pPr>
              <w:pStyle w:val="BodyText0"/>
              <w:spacing w:before="0" w:after="0"/>
              <w:jc w:val="center"/>
              <w:cnfStyle w:val="100000000000"/>
              <w:rPr>
                <w:rFonts w:ascii="Arial Narrow" w:hAnsi="Arial Narrow"/>
                <w:sz w:val="18"/>
                <w:szCs w:val="18"/>
              </w:rPr>
            </w:pPr>
            <w:r>
              <w:rPr>
                <w:rFonts w:ascii="Arial Narrow" w:hAnsi="Arial Narrow"/>
                <w:sz w:val="18"/>
                <w:szCs w:val="18"/>
              </w:rPr>
              <w:t>Laboratory Blanks</w:t>
            </w:r>
          </w:p>
        </w:tc>
        <w:tc>
          <w:tcPr>
            <w:tcW w:w="751" w:type="pct"/>
            <w:shd w:val="clear" w:color="auto" w:fill="1F497D" w:themeFill="text2"/>
            <w:vAlign w:val="center"/>
          </w:tcPr>
          <w:p w:rsidR="008958D0" w:rsidRPr="004B334B" w:rsidRDefault="008958D0" w:rsidP="00FF662A">
            <w:pPr>
              <w:pStyle w:val="BodyText0"/>
              <w:spacing w:before="0" w:after="0"/>
              <w:jc w:val="center"/>
              <w:cnfStyle w:val="100000000000"/>
              <w:rPr>
                <w:rFonts w:ascii="Arial Narrow" w:hAnsi="Arial Narrow"/>
                <w:sz w:val="18"/>
                <w:szCs w:val="18"/>
              </w:rPr>
            </w:pPr>
            <w:r>
              <w:rPr>
                <w:rFonts w:ascii="Arial Narrow" w:hAnsi="Arial Narrow"/>
                <w:sz w:val="18"/>
                <w:szCs w:val="18"/>
              </w:rPr>
              <w:t>Laboratory Duplicate</w:t>
            </w:r>
          </w:p>
        </w:tc>
        <w:tc>
          <w:tcPr>
            <w:tcW w:w="746" w:type="pct"/>
            <w:shd w:val="clear" w:color="auto" w:fill="1F497D" w:themeFill="text2"/>
          </w:tcPr>
          <w:p w:rsidR="008958D0" w:rsidRDefault="008958D0" w:rsidP="00FF662A">
            <w:pPr>
              <w:pStyle w:val="BodyText0"/>
              <w:spacing w:before="0" w:after="0"/>
              <w:jc w:val="center"/>
              <w:cnfStyle w:val="100000000000"/>
              <w:rPr>
                <w:rFonts w:ascii="Arial Narrow" w:hAnsi="Arial Narrow"/>
                <w:sz w:val="18"/>
                <w:szCs w:val="18"/>
              </w:rPr>
            </w:pPr>
          </w:p>
          <w:p w:rsidR="008958D0" w:rsidRDefault="008958D0" w:rsidP="00FF662A">
            <w:pPr>
              <w:pStyle w:val="BodyText0"/>
              <w:spacing w:before="0" w:after="0"/>
              <w:jc w:val="center"/>
              <w:cnfStyle w:val="100000000000"/>
              <w:rPr>
                <w:rFonts w:ascii="Arial Narrow" w:hAnsi="Arial Narrow"/>
                <w:sz w:val="18"/>
                <w:szCs w:val="18"/>
              </w:rPr>
            </w:pPr>
          </w:p>
          <w:p w:rsidR="008958D0" w:rsidRDefault="008958D0" w:rsidP="00FF662A">
            <w:pPr>
              <w:pStyle w:val="BodyText0"/>
              <w:spacing w:before="0" w:after="0"/>
              <w:jc w:val="center"/>
              <w:cnfStyle w:val="100000000000"/>
              <w:rPr>
                <w:rFonts w:ascii="Arial Narrow" w:hAnsi="Arial Narrow"/>
                <w:sz w:val="18"/>
                <w:szCs w:val="18"/>
              </w:rPr>
            </w:pPr>
            <w:r>
              <w:rPr>
                <w:rFonts w:ascii="Arial Narrow" w:hAnsi="Arial Narrow"/>
                <w:sz w:val="18"/>
                <w:szCs w:val="18"/>
              </w:rPr>
              <w:t>Sensitivity</w:t>
            </w:r>
          </w:p>
        </w:tc>
      </w:tr>
      <w:tr w:rsidR="008958D0" w:rsidRPr="004B334B" w:rsidTr="00CC4726">
        <w:trPr>
          <w:cnfStyle w:val="000000100000"/>
          <w:jc w:val="center"/>
        </w:trPr>
        <w:tc>
          <w:tcPr>
            <w:cnfStyle w:val="001000000000"/>
            <w:tcW w:w="619" w:type="pct"/>
            <w:shd w:val="clear" w:color="auto" w:fill="FFFFFF" w:themeFill="background1"/>
          </w:tcPr>
          <w:p w:rsidR="008958D0" w:rsidRPr="004B334B" w:rsidRDefault="008958D0" w:rsidP="00FF662A">
            <w:pPr>
              <w:pStyle w:val="BodyText0"/>
              <w:spacing w:before="0" w:after="0"/>
              <w:jc w:val="center"/>
              <w:rPr>
                <w:rFonts w:ascii="Arial Narrow" w:hAnsi="Arial Narrow"/>
                <w:sz w:val="18"/>
                <w:szCs w:val="18"/>
              </w:rPr>
            </w:pPr>
          </w:p>
        </w:tc>
        <w:tc>
          <w:tcPr>
            <w:tcW w:w="503" w:type="pct"/>
            <w:shd w:val="clear" w:color="auto" w:fill="FFFFFF" w:themeFill="background1"/>
          </w:tcPr>
          <w:p w:rsidR="008958D0" w:rsidRPr="004B334B" w:rsidRDefault="008958D0" w:rsidP="00FF662A">
            <w:pPr>
              <w:pStyle w:val="BodyText0"/>
              <w:spacing w:before="0" w:after="0"/>
              <w:jc w:val="center"/>
              <w:cnfStyle w:val="000000100000"/>
              <w:rPr>
                <w:rFonts w:ascii="Arial Narrow" w:hAnsi="Arial Narrow"/>
                <w:sz w:val="18"/>
                <w:szCs w:val="18"/>
              </w:rPr>
            </w:pPr>
          </w:p>
        </w:tc>
        <w:tc>
          <w:tcPr>
            <w:tcW w:w="612" w:type="pct"/>
            <w:shd w:val="clear" w:color="auto" w:fill="FFFFFF" w:themeFill="background1"/>
          </w:tcPr>
          <w:p w:rsidR="008958D0" w:rsidRPr="004B334B" w:rsidRDefault="008958D0" w:rsidP="00FF662A">
            <w:pPr>
              <w:pStyle w:val="BodyText0"/>
              <w:spacing w:before="0" w:after="0"/>
              <w:jc w:val="center"/>
              <w:cnfStyle w:val="000000100000"/>
              <w:rPr>
                <w:rFonts w:ascii="Arial Narrow" w:hAnsi="Arial Narrow"/>
                <w:sz w:val="18"/>
                <w:szCs w:val="18"/>
              </w:rPr>
            </w:pPr>
            <w:r w:rsidRPr="004B334B">
              <w:rPr>
                <w:rFonts w:ascii="Arial Narrow" w:hAnsi="Arial Narrow"/>
                <w:sz w:val="18"/>
                <w:szCs w:val="18"/>
              </w:rPr>
              <w:t>% recovery limits</w:t>
            </w:r>
          </w:p>
        </w:tc>
        <w:tc>
          <w:tcPr>
            <w:tcW w:w="575" w:type="pct"/>
            <w:shd w:val="clear" w:color="auto" w:fill="FFFFFF" w:themeFill="background1"/>
          </w:tcPr>
          <w:p w:rsidR="008958D0" w:rsidRPr="004B334B" w:rsidRDefault="008958D0" w:rsidP="00FF662A">
            <w:pPr>
              <w:pStyle w:val="BodyText0"/>
              <w:spacing w:before="0" w:after="0"/>
              <w:jc w:val="center"/>
              <w:cnfStyle w:val="000000100000"/>
              <w:rPr>
                <w:rFonts w:ascii="Arial Narrow" w:hAnsi="Arial Narrow"/>
                <w:sz w:val="18"/>
                <w:szCs w:val="18"/>
              </w:rPr>
            </w:pPr>
            <w:r w:rsidRPr="004B334B">
              <w:rPr>
                <w:rFonts w:ascii="Arial Narrow" w:hAnsi="Arial Narrow"/>
                <w:sz w:val="18"/>
                <w:szCs w:val="18"/>
              </w:rPr>
              <w:t>% recovery limits</w:t>
            </w:r>
          </w:p>
        </w:tc>
        <w:tc>
          <w:tcPr>
            <w:tcW w:w="574" w:type="pct"/>
            <w:shd w:val="clear" w:color="auto" w:fill="FFFFFF" w:themeFill="background1"/>
          </w:tcPr>
          <w:p w:rsidR="008958D0" w:rsidRPr="004B334B" w:rsidRDefault="008958D0" w:rsidP="00FF662A">
            <w:pPr>
              <w:pStyle w:val="BodyText0"/>
              <w:spacing w:before="0" w:after="0"/>
              <w:jc w:val="center"/>
              <w:cnfStyle w:val="000000100000"/>
              <w:rPr>
                <w:rFonts w:ascii="Arial Narrow" w:hAnsi="Arial Narrow"/>
                <w:sz w:val="18"/>
                <w:szCs w:val="18"/>
              </w:rPr>
            </w:pPr>
            <w:r w:rsidRPr="004B334B">
              <w:rPr>
                <w:rFonts w:ascii="Arial Narrow" w:hAnsi="Arial Narrow"/>
                <w:sz w:val="18"/>
                <w:szCs w:val="18"/>
              </w:rPr>
              <w:t>% recovery limits</w:t>
            </w:r>
          </w:p>
        </w:tc>
        <w:tc>
          <w:tcPr>
            <w:tcW w:w="620" w:type="pct"/>
            <w:shd w:val="clear" w:color="auto" w:fill="FFFFFF" w:themeFill="background1"/>
          </w:tcPr>
          <w:p w:rsidR="008958D0" w:rsidRPr="004B334B" w:rsidRDefault="008958D0" w:rsidP="00FF662A">
            <w:pPr>
              <w:pStyle w:val="BodyText0"/>
              <w:spacing w:before="0" w:after="0"/>
              <w:jc w:val="center"/>
              <w:cnfStyle w:val="000000100000"/>
              <w:rPr>
                <w:rFonts w:ascii="Arial Narrow" w:hAnsi="Arial Narrow"/>
                <w:sz w:val="18"/>
                <w:szCs w:val="18"/>
              </w:rPr>
            </w:pPr>
            <w:r w:rsidRPr="004B334B">
              <w:rPr>
                <w:rFonts w:ascii="Arial Narrow" w:hAnsi="Arial Narrow"/>
                <w:sz w:val="18"/>
                <w:szCs w:val="18"/>
              </w:rPr>
              <w:t xml:space="preserve">Concentration </w:t>
            </w:r>
            <w:r>
              <w:rPr>
                <w:rFonts w:ascii="Arial Narrow" w:hAnsi="Arial Narrow"/>
                <w:sz w:val="18"/>
                <w:szCs w:val="18"/>
              </w:rPr>
              <w:br/>
            </w:r>
            <w:r w:rsidRPr="004B334B">
              <w:rPr>
                <w:rFonts w:ascii="Arial Narrow" w:hAnsi="Arial Narrow"/>
                <w:sz w:val="18"/>
                <w:szCs w:val="18"/>
              </w:rPr>
              <w:t>(</w:t>
            </w:r>
            <w:r>
              <w:rPr>
                <w:rFonts w:ascii="Arial Narrow" w:hAnsi="Arial Narrow"/>
                <w:sz w:val="18"/>
                <w:szCs w:val="18"/>
              </w:rPr>
              <w:t>ppb</w:t>
            </w:r>
            <w:r w:rsidRPr="004B334B">
              <w:rPr>
                <w:rFonts w:ascii="Arial Narrow" w:hAnsi="Arial Narrow"/>
                <w:sz w:val="18"/>
                <w:szCs w:val="18"/>
              </w:rPr>
              <w:t>)</w:t>
            </w:r>
          </w:p>
        </w:tc>
        <w:tc>
          <w:tcPr>
            <w:tcW w:w="751" w:type="pct"/>
            <w:shd w:val="clear" w:color="auto" w:fill="FFFFFF" w:themeFill="background1"/>
          </w:tcPr>
          <w:p w:rsidR="008958D0" w:rsidRPr="004B334B" w:rsidRDefault="008958D0" w:rsidP="00FF662A">
            <w:pPr>
              <w:pStyle w:val="BodyText0"/>
              <w:spacing w:before="0" w:after="0"/>
              <w:jc w:val="center"/>
              <w:cnfStyle w:val="000000100000"/>
              <w:rPr>
                <w:rFonts w:ascii="Arial Narrow" w:hAnsi="Arial Narrow"/>
                <w:sz w:val="18"/>
                <w:szCs w:val="18"/>
              </w:rPr>
            </w:pPr>
            <w:r>
              <w:rPr>
                <w:rFonts w:ascii="Arial Narrow" w:hAnsi="Arial Narrow"/>
                <w:sz w:val="18"/>
                <w:szCs w:val="18"/>
              </w:rPr>
              <w:t xml:space="preserve">Relative Percent Difference </w:t>
            </w:r>
            <w:r w:rsidRPr="008958D0">
              <w:rPr>
                <w:rFonts w:ascii="Arial Narrow" w:hAnsi="Arial Narrow"/>
                <w:sz w:val="18"/>
                <w:szCs w:val="18"/>
                <w:vertAlign w:val="superscript"/>
              </w:rPr>
              <w:t>c</w:t>
            </w:r>
          </w:p>
        </w:tc>
        <w:tc>
          <w:tcPr>
            <w:tcW w:w="746" w:type="pct"/>
            <w:shd w:val="clear" w:color="auto" w:fill="FFFFFF" w:themeFill="background1"/>
          </w:tcPr>
          <w:p w:rsidR="008958D0" w:rsidRDefault="008958D0" w:rsidP="00FF662A">
            <w:pPr>
              <w:pStyle w:val="BodyText0"/>
              <w:spacing w:before="0" w:after="0"/>
              <w:jc w:val="center"/>
              <w:cnfStyle w:val="000000100000"/>
              <w:rPr>
                <w:rFonts w:ascii="Arial Narrow" w:hAnsi="Arial Narrow"/>
                <w:sz w:val="18"/>
                <w:szCs w:val="18"/>
              </w:rPr>
            </w:pPr>
            <w:r>
              <w:rPr>
                <w:rFonts w:ascii="Arial Narrow" w:hAnsi="Arial Narrow"/>
                <w:sz w:val="18"/>
                <w:szCs w:val="18"/>
              </w:rPr>
              <w:t>Detection limit/congener (ppb)</w:t>
            </w:r>
          </w:p>
        </w:tc>
      </w:tr>
      <w:tr w:rsidR="00CC4726" w:rsidRPr="004B334B" w:rsidTr="00CC4726">
        <w:trPr>
          <w:jc w:val="center"/>
        </w:trPr>
        <w:tc>
          <w:tcPr>
            <w:cnfStyle w:val="001000000000"/>
            <w:tcW w:w="619" w:type="pct"/>
            <w:shd w:val="clear" w:color="auto" w:fill="FFFFFF" w:themeFill="background1"/>
          </w:tcPr>
          <w:p w:rsidR="00CC4726" w:rsidRPr="00694D0B" w:rsidRDefault="00CC4726" w:rsidP="00362C44">
            <w:pPr>
              <w:pStyle w:val="BodyText0"/>
              <w:rPr>
                <w:rFonts w:asciiTheme="majorHAnsi" w:hAnsiTheme="majorHAnsi"/>
                <w:sz w:val="18"/>
                <w:szCs w:val="18"/>
              </w:rPr>
            </w:pPr>
            <w:r w:rsidRPr="00694D0B">
              <w:rPr>
                <w:rFonts w:asciiTheme="majorHAnsi" w:hAnsiTheme="majorHAnsi"/>
                <w:sz w:val="18"/>
                <w:szCs w:val="18"/>
              </w:rPr>
              <w:t xml:space="preserve">PCB </w:t>
            </w:r>
            <w:r>
              <w:rPr>
                <w:rFonts w:asciiTheme="majorHAnsi" w:hAnsiTheme="majorHAnsi"/>
                <w:sz w:val="18"/>
                <w:szCs w:val="18"/>
              </w:rPr>
              <w:t>congeners (low-detection limit)</w:t>
            </w:r>
          </w:p>
        </w:tc>
        <w:tc>
          <w:tcPr>
            <w:tcW w:w="503" w:type="pct"/>
            <w:shd w:val="clear" w:color="auto" w:fill="FFFFFF" w:themeFill="background1"/>
          </w:tcPr>
          <w:p w:rsidR="00CC4726" w:rsidRPr="004B334B" w:rsidRDefault="00CC4726" w:rsidP="00FF662A">
            <w:pPr>
              <w:pStyle w:val="BodyText0"/>
              <w:spacing w:before="0" w:after="0"/>
              <w:jc w:val="center"/>
              <w:cnfStyle w:val="000000000000"/>
              <w:rPr>
                <w:rFonts w:ascii="Arial Narrow" w:hAnsi="Arial Narrow"/>
                <w:sz w:val="18"/>
                <w:szCs w:val="18"/>
              </w:rPr>
            </w:pPr>
            <w:r w:rsidRPr="004B334B">
              <w:rPr>
                <w:rFonts w:ascii="Arial Narrow" w:hAnsi="Arial Narrow"/>
                <w:sz w:val="18"/>
                <w:szCs w:val="18"/>
              </w:rPr>
              <w:t>EPA 1668C</w:t>
            </w:r>
            <w:r>
              <w:rPr>
                <w:rFonts w:ascii="Arial Narrow" w:hAnsi="Arial Narrow"/>
                <w:sz w:val="18"/>
                <w:szCs w:val="18"/>
              </w:rPr>
              <w:br/>
            </w:r>
          </w:p>
        </w:tc>
        <w:tc>
          <w:tcPr>
            <w:tcW w:w="612" w:type="pct"/>
            <w:shd w:val="clear" w:color="auto" w:fill="FFFFFF" w:themeFill="background1"/>
          </w:tcPr>
          <w:p w:rsidR="00CC4726" w:rsidRPr="004B334B" w:rsidRDefault="00CC4726" w:rsidP="00FF662A">
            <w:pPr>
              <w:pStyle w:val="BodyText0"/>
              <w:spacing w:before="0" w:after="0"/>
              <w:jc w:val="center"/>
              <w:cnfStyle w:val="000000000000"/>
              <w:rPr>
                <w:rFonts w:ascii="Arial Narrow" w:hAnsi="Arial Narrow"/>
                <w:sz w:val="18"/>
                <w:szCs w:val="18"/>
              </w:rPr>
            </w:pPr>
            <w:r w:rsidRPr="004B334B">
              <w:rPr>
                <w:rFonts w:ascii="Arial Narrow" w:hAnsi="Arial Narrow"/>
                <w:sz w:val="18"/>
                <w:szCs w:val="18"/>
              </w:rPr>
              <w:t>50-145%</w:t>
            </w:r>
          </w:p>
        </w:tc>
        <w:tc>
          <w:tcPr>
            <w:tcW w:w="575" w:type="pct"/>
            <w:shd w:val="clear" w:color="auto" w:fill="FFFFFF" w:themeFill="background1"/>
          </w:tcPr>
          <w:p w:rsidR="00CC4726" w:rsidRPr="004B334B" w:rsidRDefault="00CC4726" w:rsidP="008958D0">
            <w:pPr>
              <w:pStyle w:val="BodyText0"/>
              <w:spacing w:before="0" w:after="0"/>
              <w:jc w:val="center"/>
              <w:cnfStyle w:val="000000000000"/>
              <w:rPr>
                <w:rFonts w:ascii="Arial Narrow" w:hAnsi="Arial Narrow"/>
                <w:sz w:val="18"/>
                <w:szCs w:val="18"/>
              </w:rPr>
            </w:pPr>
            <w:r>
              <w:rPr>
                <w:rFonts w:ascii="Arial Narrow" w:hAnsi="Arial Narrow"/>
                <w:sz w:val="18"/>
                <w:szCs w:val="18"/>
              </w:rPr>
              <w:t>60-135</w:t>
            </w:r>
            <w:r w:rsidRPr="004B334B">
              <w:rPr>
                <w:rFonts w:ascii="Arial Narrow" w:hAnsi="Arial Narrow"/>
                <w:sz w:val="18"/>
                <w:szCs w:val="18"/>
              </w:rPr>
              <w:t>%</w:t>
            </w:r>
          </w:p>
        </w:tc>
        <w:tc>
          <w:tcPr>
            <w:tcW w:w="574" w:type="pct"/>
            <w:shd w:val="clear" w:color="auto" w:fill="FFFFFF" w:themeFill="background1"/>
          </w:tcPr>
          <w:p w:rsidR="00CC4726" w:rsidRDefault="00CC4726" w:rsidP="008958D0">
            <w:pPr>
              <w:pStyle w:val="BodyText0"/>
              <w:spacing w:before="0" w:after="0"/>
              <w:jc w:val="center"/>
              <w:cnfStyle w:val="000000000000"/>
              <w:rPr>
                <w:rFonts w:ascii="Arial Narrow" w:hAnsi="Arial Narrow"/>
                <w:sz w:val="18"/>
                <w:szCs w:val="18"/>
                <w:vertAlign w:val="superscript"/>
              </w:rPr>
            </w:pPr>
            <w:r>
              <w:rPr>
                <w:rFonts w:ascii="Arial Narrow" w:hAnsi="Arial Narrow"/>
                <w:sz w:val="18"/>
                <w:szCs w:val="18"/>
              </w:rPr>
              <w:t>5</w:t>
            </w:r>
            <w:r w:rsidRPr="004B334B">
              <w:rPr>
                <w:rFonts w:ascii="Arial Narrow" w:hAnsi="Arial Narrow"/>
                <w:sz w:val="18"/>
                <w:szCs w:val="18"/>
              </w:rPr>
              <w:t>-1</w:t>
            </w:r>
            <w:r>
              <w:rPr>
                <w:rFonts w:ascii="Arial Narrow" w:hAnsi="Arial Narrow"/>
                <w:sz w:val="18"/>
                <w:szCs w:val="18"/>
              </w:rPr>
              <w:t>45</w:t>
            </w:r>
            <w:r w:rsidRPr="004B334B">
              <w:rPr>
                <w:rFonts w:ascii="Arial Narrow" w:hAnsi="Arial Narrow"/>
                <w:sz w:val="18"/>
                <w:szCs w:val="18"/>
              </w:rPr>
              <w:t>%</w:t>
            </w:r>
            <w:r w:rsidRPr="008958D0">
              <w:rPr>
                <w:rFonts w:ascii="Arial Narrow" w:hAnsi="Arial Narrow"/>
                <w:sz w:val="18"/>
                <w:szCs w:val="18"/>
                <w:vertAlign w:val="superscript"/>
              </w:rPr>
              <w:t>a</w:t>
            </w:r>
          </w:p>
          <w:p w:rsidR="00CC4726" w:rsidRPr="004B334B" w:rsidRDefault="00CC4726" w:rsidP="008958D0">
            <w:pPr>
              <w:pStyle w:val="BodyText0"/>
              <w:spacing w:before="0" w:after="0"/>
              <w:jc w:val="center"/>
              <w:cnfStyle w:val="000000000000"/>
              <w:rPr>
                <w:rFonts w:ascii="Arial Narrow" w:hAnsi="Arial Narrow"/>
                <w:sz w:val="18"/>
                <w:szCs w:val="18"/>
              </w:rPr>
            </w:pPr>
            <w:r>
              <w:rPr>
                <w:rFonts w:ascii="Arial Narrow" w:hAnsi="Arial Narrow"/>
                <w:sz w:val="18"/>
                <w:szCs w:val="18"/>
              </w:rPr>
              <w:t>10</w:t>
            </w:r>
            <w:r w:rsidRPr="004B334B">
              <w:rPr>
                <w:rFonts w:ascii="Arial Narrow" w:hAnsi="Arial Narrow"/>
                <w:sz w:val="18"/>
                <w:szCs w:val="18"/>
              </w:rPr>
              <w:t>-1</w:t>
            </w:r>
            <w:r>
              <w:rPr>
                <w:rFonts w:ascii="Arial Narrow" w:hAnsi="Arial Narrow"/>
                <w:sz w:val="18"/>
                <w:szCs w:val="18"/>
              </w:rPr>
              <w:t>45</w:t>
            </w:r>
            <w:r w:rsidRPr="004B334B">
              <w:rPr>
                <w:rFonts w:ascii="Arial Narrow" w:hAnsi="Arial Narrow"/>
                <w:sz w:val="18"/>
                <w:szCs w:val="18"/>
              </w:rPr>
              <w:t>%</w:t>
            </w:r>
            <w:r>
              <w:rPr>
                <w:rFonts w:ascii="Arial Narrow" w:hAnsi="Arial Narrow"/>
                <w:sz w:val="18"/>
                <w:szCs w:val="18"/>
                <w:vertAlign w:val="superscript"/>
              </w:rPr>
              <w:t>b</w:t>
            </w:r>
          </w:p>
        </w:tc>
        <w:tc>
          <w:tcPr>
            <w:tcW w:w="620" w:type="pct"/>
            <w:shd w:val="clear" w:color="auto" w:fill="FFFFFF" w:themeFill="background1"/>
          </w:tcPr>
          <w:p w:rsidR="00CC4726" w:rsidRPr="004B334B" w:rsidRDefault="00CC4726" w:rsidP="00FF662A">
            <w:pPr>
              <w:pStyle w:val="BodyText0"/>
              <w:spacing w:before="0" w:after="0"/>
              <w:jc w:val="center"/>
              <w:cnfStyle w:val="000000000000"/>
              <w:rPr>
                <w:rFonts w:ascii="Arial Narrow" w:hAnsi="Arial Narrow"/>
                <w:sz w:val="18"/>
                <w:szCs w:val="18"/>
              </w:rPr>
            </w:pPr>
            <w:r>
              <w:rPr>
                <w:rFonts w:ascii="Arial Narrow" w:hAnsi="Arial Narrow"/>
                <w:sz w:val="18"/>
                <w:szCs w:val="18"/>
              </w:rPr>
              <w:t>0.05 – 0.2</w:t>
            </w:r>
          </w:p>
        </w:tc>
        <w:tc>
          <w:tcPr>
            <w:tcW w:w="751" w:type="pct"/>
            <w:shd w:val="clear" w:color="auto" w:fill="FFFFFF" w:themeFill="background1"/>
          </w:tcPr>
          <w:p w:rsidR="00CC4726" w:rsidRPr="004B334B" w:rsidRDefault="00CC4726" w:rsidP="00FF662A">
            <w:pPr>
              <w:pStyle w:val="BodyText0"/>
              <w:spacing w:before="0" w:after="0"/>
              <w:jc w:val="center"/>
              <w:cnfStyle w:val="000000000000"/>
              <w:rPr>
                <w:rFonts w:ascii="Arial Narrow" w:hAnsi="Arial Narrow"/>
                <w:sz w:val="18"/>
                <w:szCs w:val="18"/>
              </w:rPr>
            </w:pPr>
            <w:r w:rsidRPr="001E2734">
              <w:rPr>
                <w:rFonts w:ascii="Arial Narrow" w:hAnsi="Arial Narrow"/>
                <w:sz w:val="18"/>
                <w:szCs w:val="18"/>
                <w:u w:val="single"/>
              </w:rPr>
              <w:t>+</w:t>
            </w:r>
            <w:r>
              <w:rPr>
                <w:rFonts w:ascii="Arial Narrow" w:hAnsi="Arial Narrow"/>
                <w:sz w:val="18"/>
                <w:szCs w:val="18"/>
              </w:rPr>
              <w:t xml:space="preserve"> 2</w:t>
            </w:r>
            <w:r w:rsidRPr="004B334B">
              <w:rPr>
                <w:rFonts w:ascii="Arial Narrow" w:hAnsi="Arial Narrow"/>
                <w:sz w:val="18"/>
                <w:szCs w:val="18"/>
              </w:rPr>
              <w:t>5%</w:t>
            </w:r>
          </w:p>
        </w:tc>
        <w:tc>
          <w:tcPr>
            <w:tcW w:w="746" w:type="pct"/>
            <w:shd w:val="clear" w:color="auto" w:fill="FFFFFF" w:themeFill="background1"/>
          </w:tcPr>
          <w:p w:rsidR="00CC4726" w:rsidRPr="008958D0" w:rsidRDefault="00CC4726" w:rsidP="00FF662A">
            <w:pPr>
              <w:pStyle w:val="BodyText0"/>
              <w:spacing w:before="0" w:after="0"/>
              <w:jc w:val="center"/>
              <w:cnfStyle w:val="000000000000"/>
              <w:rPr>
                <w:rFonts w:ascii="Arial Narrow" w:hAnsi="Arial Narrow"/>
                <w:sz w:val="18"/>
                <w:szCs w:val="18"/>
              </w:rPr>
            </w:pPr>
            <w:r w:rsidRPr="008958D0">
              <w:rPr>
                <w:rFonts w:ascii="Arial Narrow" w:hAnsi="Arial Narrow"/>
                <w:sz w:val="18"/>
                <w:szCs w:val="18"/>
              </w:rPr>
              <w:t>0.02 to 0.1</w:t>
            </w:r>
          </w:p>
        </w:tc>
      </w:tr>
      <w:tr w:rsidR="00CC4726" w:rsidRPr="004B334B" w:rsidTr="00CC4726">
        <w:trPr>
          <w:cnfStyle w:val="000000100000"/>
          <w:jc w:val="center"/>
        </w:trPr>
        <w:tc>
          <w:tcPr>
            <w:cnfStyle w:val="001000000000"/>
            <w:tcW w:w="619" w:type="pct"/>
            <w:shd w:val="clear" w:color="auto" w:fill="FFFFFF" w:themeFill="background1"/>
          </w:tcPr>
          <w:p w:rsidR="00CC4726" w:rsidRPr="00694D0B" w:rsidRDefault="00CC4726" w:rsidP="00362C44">
            <w:pPr>
              <w:pStyle w:val="BodyText0"/>
              <w:rPr>
                <w:rFonts w:asciiTheme="majorHAnsi" w:hAnsiTheme="majorHAnsi"/>
                <w:sz w:val="18"/>
                <w:szCs w:val="18"/>
              </w:rPr>
            </w:pPr>
            <w:r>
              <w:rPr>
                <w:rFonts w:asciiTheme="majorHAnsi" w:hAnsiTheme="majorHAnsi"/>
                <w:sz w:val="18"/>
                <w:szCs w:val="18"/>
              </w:rPr>
              <w:t>PCB congeners (lower cost, higher detection limit)</w:t>
            </w:r>
          </w:p>
        </w:tc>
        <w:tc>
          <w:tcPr>
            <w:tcW w:w="503" w:type="pct"/>
            <w:shd w:val="clear" w:color="auto" w:fill="FFFFFF" w:themeFill="background1"/>
          </w:tcPr>
          <w:p w:rsidR="00CC4726" w:rsidRPr="004B334B" w:rsidRDefault="00CC4726" w:rsidP="00FF662A">
            <w:pPr>
              <w:pStyle w:val="BodyText0"/>
              <w:spacing w:before="0" w:after="0"/>
              <w:jc w:val="center"/>
              <w:cnfStyle w:val="000000100000"/>
              <w:rPr>
                <w:rFonts w:ascii="Arial Narrow" w:hAnsi="Arial Narrow"/>
                <w:sz w:val="18"/>
                <w:szCs w:val="18"/>
              </w:rPr>
            </w:pPr>
            <w:proofErr w:type="spellStart"/>
            <w:r>
              <w:rPr>
                <w:rFonts w:ascii="Arial Narrow" w:hAnsi="Arial Narrow"/>
                <w:sz w:val="18"/>
                <w:szCs w:val="18"/>
              </w:rPr>
              <w:t>Axys</w:t>
            </w:r>
            <w:proofErr w:type="spellEnd"/>
            <w:r>
              <w:rPr>
                <w:rFonts w:ascii="Arial Narrow" w:hAnsi="Arial Narrow"/>
                <w:sz w:val="18"/>
                <w:szCs w:val="18"/>
              </w:rPr>
              <w:t xml:space="preserve"> MLA-007</w:t>
            </w:r>
          </w:p>
        </w:tc>
        <w:tc>
          <w:tcPr>
            <w:tcW w:w="612" w:type="pct"/>
            <w:shd w:val="clear" w:color="auto" w:fill="FFFFFF" w:themeFill="background1"/>
          </w:tcPr>
          <w:p w:rsidR="00CC4726" w:rsidRPr="004B334B" w:rsidRDefault="00CC4726" w:rsidP="00FF662A">
            <w:pPr>
              <w:pStyle w:val="BodyText0"/>
              <w:spacing w:before="0" w:after="0"/>
              <w:jc w:val="center"/>
              <w:cnfStyle w:val="000000100000"/>
              <w:rPr>
                <w:rFonts w:ascii="Arial Narrow" w:hAnsi="Arial Narrow"/>
                <w:sz w:val="18"/>
                <w:szCs w:val="18"/>
              </w:rPr>
            </w:pPr>
          </w:p>
        </w:tc>
        <w:tc>
          <w:tcPr>
            <w:tcW w:w="575" w:type="pct"/>
            <w:shd w:val="clear" w:color="auto" w:fill="FFFFFF" w:themeFill="background1"/>
          </w:tcPr>
          <w:p w:rsidR="00CC4726" w:rsidRDefault="00CC4726" w:rsidP="008958D0">
            <w:pPr>
              <w:pStyle w:val="BodyText0"/>
              <w:spacing w:before="0" w:after="0"/>
              <w:jc w:val="center"/>
              <w:cnfStyle w:val="000000100000"/>
              <w:rPr>
                <w:rFonts w:ascii="Arial Narrow" w:hAnsi="Arial Narrow"/>
                <w:sz w:val="18"/>
                <w:szCs w:val="18"/>
              </w:rPr>
            </w:pPr>
          </w:p>
        </w:tc>
        <w:tc>
          <w:tcPr>
            <w:tcW w:w="574" w:type="pct"/>
            <w:shd w:val="clear" w:color="auto" w:fill="FFFFFF" w:themeFill="background1"/>
          </w:tcPr>
          <w:p w:rsidR="00CC4726" w:rsidRDefault="00CC4726" w:rsidP="008958D0">
            <w:pPr>
              <w:pStyle w:val="BodyText0"/>
              <w:spacing w:before="0" w:after="0"/>
              <w:jc w:val="center"/>
              <w:cnfStyle w:val="000000100000"/>
              <w:rPr>
                <w:rFonts w:ascii="Arial Narrow" w:hAnsi="Arial Narrow"/>
                <w:sz w:val="18"/>
                <w:szCs w:val="18"/>
              </w:rPr>
            </w:pPr>
          </w:p>
        </w:tc>
        <w:tc>
          <w:tcPr>
            <w:tcW w:w="620" w:type="pct"/>
            <w:shd w:val="clear" w:color="auto" w:fill="FFFFFF" w:themeFill="background1"/>
          </w:tcPr>
          <w:p w:rsidR="00CC4726" w:rsidRDefault="00CC4726" w:rsidP="00FF662A">
            <w:pPr>
              <w:pStyle w:val="BodyText0"/>
              <w:spacing w:before="0" w:after="0"/>
              <w:jc w:val="center"/>
              <w:cnfStyle w:val="000000100000"/>
              <w:rPr>
                <w:rFonts w:ascii="Arial Narrow" w:hAnsi="Arial Narrow"/>
                <w:sz w:val="18"/>
                <w:szCs w:val="18"/>
              </w:rPr>
            </w:pPr>
          </w:p>
        </w:tc>
        <w:tc>
          <w:tcPr>
            <w:tcW w:w="751" w:type="pct"/>
            <w:shd w:val="clear" w:color="auto" w:fill="FFFFFF" w:themeFill="background1"/>
          </w:tcPr>
          <w:p w:rsidR="00CC4726" w:rsidRPr="001E2734" w:rsidRDefault="00CC4726" w:rsidP="00FF662A">
            <w:pPr>
              <w:pStyle w:val="BodyText0"/>
              <w:spacing w:before="0" w:after="0"/>
              <w:jc w:val="center"/>
              <w:cnfStyle w:val="000000100000"/>
              <w:rPr>
                <w:rFonts w:ascii="Arial Narrow" w:hAnsi="Arial Narrow"/>
                <w:sz w:val="18"/>
                <w:szCs w:val="18"/>
                <w:u w:val="single"/>
              </w:rPr>
            </w:pPr>
          </w:p>
        </w:tc>
        <w:tc>
          <w:tcPr>
            <w:tcW w:w="746" w:type="pct"/>
            <w:shd w:val="clear" w:color="auto" w:fill="FFFFFF" w:themeFill="background1"/>
          </w:tcPr>
          <w:p w:rsidR="00CC4726" w:rsidRPr="008958D0" w:rsidRDefault="00CC4726" w:rsidP="00CC4726">
            <w:pPr>
              <w:pStyle w:val="BodyText0"/>
              <w:spacing w:before="0" w:after="0"/>
              <w:jc w:val="center"/>
              <w:cnfStyle w:val="000000100000"/>
              <w:rPr>
                <w:rFonts w:ascii="Arial Narrow" w:hAnsi="Arial Narrow"/>
                <w:sz w:val="18"/>
                <w:szCs w:val="18"/>
              </w:rPr>
            </w:pPr>
            <w:r>
              <w:rPr>
                <w:rFonts w:ascii="Arial Narrow" w:hAnsi="Arial Narrow"/>
                <w:sz w:val="18"/>
                <w:szCs w:val="18"/>
              </w:rPr>
              <w:t>0.1 to 0.5</w:t>
            </w:r>
          </w:p>
        </w:tc>
      </w:tr>
    </w:tbl>
    <w:p w:rsidR="007B070B" w:rsidRPr="008958D0" w:rsidRDefault="008958D0" w:rsidP="008958D0">
      <w:pPr>
        <w:rPr>
          <w:sz w:val="16"/>
          <w:szCs w:val="16"/>
        </w:rPr>
      </w:pPr>
      <w:r>
        <w:tab/>
      </w:r>
      <w:r w:rsidRPr="008958D0">
        <w:rPr>
          <w:sz w:val="16"/>
          <w:szCs w:val="16"/>
        </w:rPr>
        <w:t xml:space="preserve">a – </w:t>
      </w:r>
      <w:proofErr w:type="spellStart"/>
      <w:r w:rsidRPr="008958D0">
        <w:rPr>
          <w:sz w:val="16"/>
          <w:szCs w:val="16"/>
        </w:rPr>
        <w:t>MoCB</w:t>
      </w:r>
      <w:proofErr w:type="spellEnd"/>
      <w:r w:rsidRPr="008958D0">
        <w:rPr>
          <w:sz w:val="16"/>
          <w:szCs w:val="16"/>
        </w:rPr>
        <w:t xml:space="preserve"> to </w:t>
      </w:r>
      <w:proofErr w:type="spellStart"/>
      <w:r w:rsidRPr="008958D0">
        <w:rPr>
          <w:sz w:val="16"/>
          <w:szCs w:val="16"/>
        </w:rPr>
        <w:t>TriCB</w:t>
      </w:r>
      <w:proofErr w:type="spellEnd"/>
    </w:p>
    <w:p w:rsidR="008958D0" w:rsidRPr="008958D0" w:rsidRDefault="008958D0" w:rsidP="008958D0">
      <w:pPr>
        <w:ind w:firstLine="720"/>
        <w:rPr>
          <w:sz w:val="16"/>
          <w:szCs w:val="16"/>
        </w:rPr>
      </w:pPr>
      <w:r w:rsidRPr="008958D0">
        <w:rPr>
          <w:sz w:val="16"/>
          <w:szCs w:val="16"/>
        </w:rPr>
        <w:t xml:space="preserve">b – </w:t>
      </w:r>
      <w:proofErr w:type="gramStart"/>
      <w:r w:rsidRPr="008958D0">
        <w:rPr>
          <w:sz w:val="16"/>
          <w:szCs w:val="16"/>
        </w:rPr>
        <w:t>remaining</w:t>
      </w:r>
      <w:proofErr w:type="gramEnd"/>
      <w:r w:rsidRPr="008958D0">
        <w:rPr>
          <w:sz w:val="16"/>
          <w:szCs w:val="16"/>
        </w:rPr>
        <w:t xml:space="preserve"> congeners</w:t>
      </w:r>
    </w:p>
    <w:p w:rsidR="008958D0" w:rsidRPr="008958D0" w:rsidRDefault="008958D0" w:rsidP="008958D0">
      <w:pPr>
        <w:ind w:firstLine="720"/>
        <w:rPr>
          <w:sz w:val="16"/>
          <w:szCs w:val="16"/>
        </w:rPr>
      </w:pPr>
      <w:r w:rsidRPr="008958D0">
        <w:rPr>
          <w:sz w:val="16"/>
          <w:szCs w:val="16"/>
        </w:rPr>
        <w:t xml:space="preserve">c – </w:t>
      </w:r>
      <w:proofErr w:type="gramStart"/>
      <w:r w:rsidRPr="008958D0">
        <w:rPr>
          <w:sz w:val="16"/>
          <w:szCs w:val="16"/>
        </w:rPr>
        <w:t>applies</w:t>
      </w:r>
      <w:proofErr w:type="gramEnd"/>
      <w:r w:rsidRPr="008958D0">
        <w:rPr>
          <w:sz w:val="16"/>
          <w:szCs w:val="16"/>
        </w:rPr>
        <w:t xml:space="preserve"> only when values are &gt; 10 times the detection limit</w:t>
      </w:r>
      <w:r w:rsidRPr="008958D0">
        <w:rPr>
          <w:sz w:val="16"/>
          <w:szCs w:val="16"/>
        </w:rPr>
        <w:tab/>
      </w:r>
    </w:p>
    <w:p w:rsidR="008958D0" w:rsidRPr="008958D0" w:rsidRDefault="008958D0" w:rsidP="008958D0"/>
    <w:p w:rsidR="007B070B" w:rsidRDefault="007B070B" w:rsidP="007B070B">
      <w:pPr>
        <w:pStyle w:val="Caption"/>
      </w:pPr>
      <w:proofErr w:type="gramStart"/>
      <w:r>
        <w:t xml:space="preserve">Supplemented </w:t>
      </w:r>
      <w:r w:rsidR="000F718C">
        <w:t xml:space="preserve">QAPP </w:t>
      </w:r>
      <w:r>
        <w:t xml:space="preserve">Table </w:t>
      </w:r>
      <w:r w:rsidR="00B71A5D">
        <w:fldChar w:fldCharType="begin"/>
      </w:r>
      <w:r w:rsidR="00822F48">
        <w:instrText xml:space="preserve"> SEQ Table \* ARABIC </w:instrText>
      </w:r>
      <w:r w:rsidR="00B71A5D">
        <w:fldChar w:fldCharType="separate"/>
      </w:r>
      <w:r>
        <w:rPr>
          <w:noProof/>
        </w:rPr>
        <w:t>10</w:t>
      </w:r>
      <w:r w:rsidR="00B71A5D">
        <w:rPr>
          <w:noProof/>
        </w:rPr>
        <w:fldChar w:fldCharType="end"/>
      </w:r>
      <w:r w:rsidRPr="00A02B78">
        <w:t>.</w:t>
      </w:r>
      <w:proofErr w:type="gramEnd"/>
      <w:r w:rsidRPr="00A02B78">
        <w:t xml:space="preserve"> </w:t>
      </w:r>
      <w:r>
        <w:t>Laboratory Methods and Detection Limit</w:t>
      </w:r>
      <w:bookmarkEnd w:id="2"/>
    </w:p>
    <w:tbl>
      <w:tblPr>
        <w:tblStyle w:val="MediumShading1-Accent12"/>
        <w:tblW w:w="0" w:type="auto"/>
        <w:jc w:val="center"/>
        <w:tblLook w:val="04A0"/>
      </w:tblPr>
      <w:tblGrid>
        <w:gridCol w:w="1420"/>
        <w:gridCol w:w="1174"/>
        <w:gridCol w:w="1390"/>
        <w:gridCol w:w="1610"/>
        <w:gridCol w:w="1393"/>
        <w:gridCol w:w="1438"/>
      </w:tblGrid>
      <w:tr w:rsidR="000F718C" w:rsidTr="00826003">
        <w:trPr>
          <w:cnfStyle w:val="100000000000"/>
          <w:jc w:val="center"/>
        </w:trPr>
        <w:tc>
          <w:tcPr>
            <w:cnfStyle w:val="001000000000"/>
            <w:tcW w:w="1420" w:type="dxa"/>
            <w:shd w:val="clear" w:color="auto" w:fill="1F497D" w:themeFill="text2"/>
            <w:vAlign w:val="center"/>
          </w:tcPr>
          <w:p w:rsidR="000F718C" w:rsidRPr="00E20289" w:rsidRDefault="000F718C" w:rsidP="007B070B">
            <w:pPr>
              <w:pStyle w:val="BodyText0"/>
              <w:jc w:val="center"/>
              <w:rPr>
                <w:rFonts w:asciiTheme="majorHAnsi" w:hAnsiTheme="majorHAnsi"/>
                <w:sz w:val="18"/>
                <w:szCs w:val="18"/>
              </w:rPr>
            </w:pPr>
            <w:r w:rsidRPr="00E20289">
              <w:rPr>
                <w:rFonts w:asciiTheme="majorHAnsi" w:hAnsiTheme="majorHAnsi"/>
                <w:sz w:val="18"/>
                <w:szCs w:val="18"/>
              </w:rPr>
              <w:t>Parameter</w:t>
            </w:r>
          </w:p>
        </w:tc>
        <w:tc>
          <w:tcPr>
            <w:tcW w:w="1174" w:type="dxa"/>
            <w:shd w:val="clear" w:color="auto" w:fill="1F497D" w:themeFill="text2"/>
            <w:vAlign w:val="center"/>
          </w:tcPr>
          <w:p w:rsidR="000F718C" w:rsidRPr="00E20289" w:rsidRDefault="000F718C" w:rsidP="007B070B">
            <w:pPr>
              <w:pStyle w:val="BodyText0"/>
              <w:jc w:val="center"/>
              <w:cnfStyle w:val="100000000000"/>
              <w:rPr>
                <w:rFonts w:asciiTheme="majorHAnsi" w:hAnsiTheme="majorHAnsi"/>
                <w:sz w:val="18"/>
                <w:szCs w:val="18"/>
              </w:rPr>
            </w:pPr>
            <w:r>
              <w:rPr>
                <w:rFonts w:asciiTheme="majorHAnsi" w:hAnsiTheme="majorHAnsi"/>
                <w:sz w:val="18"/>
                <w:szCs w:val="18"/>
              </w:rPr>
              <w:t>Sample Matrix</w:t>
            </w:r>
          </w:p>
        </w:tc>
        <w:tc>
          <w:tcPr>
            <w:tcW w:w="1390" w:type="dxa"/>
            <w:shd w:val="clear" w:color="auto" w:fill="1F497D" w:themeFill="text2"/>
            <w:vAlign w:val="center"/>
          </w:tcPr>
          <w:p w:rsidR="000F718C" w:rsidRPr="00E20289" w:rsidRDefault="000F718C" w:rsidP="007B070B">
            <w:pPr>
              <w:pStyle w:val="BodyText0"/>
              <w:jc w:val="center"/>
              <w:cnfStyle w:val="100000000000"/>
              <w:rPr>
                <w:rFonts w:asciiTheme="majorHAnsi" w:hAnsiTheme="majorHAnsi"/>
                <w:sz w:val="18"/>
                <w:szCs w:val="18"/>
              </w:rPr>
            </w:pPr>
            <w:r w:rsidRPr="00E20289">
              <w:rPr>
                <w:rFonts w:asciiTheme="majorHAnsi" w:hAnsiTheme="majorHAnsi"/>
                <w:sz w:val="18"/>
                <w:szCs w:val="18"/>
              </w:rPr>
              <w:t>Detection Limit</w:t>
            </w:r>
          </w:p>
        </w:tc>
        <w:tc>
          <w:tcPr>
            <w:tcW w:w="1610" w:type="dxa"/>
            <w:shd w:val="clear" w:color="auto" w:fill="1F497D" w:themeFill="text2"/>
            <w:vAlign w:val="center"/>
          </w:tcPr>
          <w:p w:rsidR="000F718C" w:rsidRPr="00E20289" w:rsidRDefault="000F718C" w:rsidP="007B070B">
            <w:pPr>
              <w:pStyle w:val="BodyText0"/>
              <w:jc w:val="center"/>
              <w:cnfStyle w:val="100000000000"/>
              <w:rPr>
                <w:rFonts w:asciiTheme="majorHAnsi" w:hAnsiTheme="majorHAnsi"/>
                <w:sz w:val="18"/>
                <w:szCs w:val="18"/>
              </w:rPr>
            </w:pPr>
            <w:r w:rsidRPr="00E20289">
              <w:rPr>
                <w:rFonts w:asciiTheme="majorHAnsi" w:hAnsiTheme="majorHAnsi"/>
                <w:sz w:val="18"/>
                <w:szCs w:val="18"/>
              </w:rPr>
              <w:t>Expected Concentrations</w:t>
            </w:r>
          </w:p>
        </w:tc>
        <w:tc>
          <w:tcPr>
            <w:tcW w:w="1393" w:type="dxa"/>
            <w:shd w:val="clear" w:color="auto" w:fill="1F497D" w:themeFill="text2"/>
            <w:vAlign w:val="center"/>
          </w:tcPr>
          <w:p w:rsidR="000F718C" w:rsidRPr="00E20289" w:rsidRDefault="000F718C" w:rsidP="007B070B">
            <w:pPr>
              <w:pStyle w:val="BodyText0"/>
              <w:jc w:val="center"/>
              <w:cnfStyle w:val="100000000000"/>
              <w:rPr>
                <w:rFonts w:asciiTheme="majorHAnsi" w:hAnsiTheme="majorHAnsi"/>
                <w:sz w:val="18"/>
                <w:szCs w:val="18"/>
              </w:rPr>
            </w:pPr>
            <w:r w:rsidRPr="00E20289">
              <w:rPr>
                <w:rFonts w:asciiTheme="majorHAnsi" w:hAnsiTheme="majorHAnsi"/>
                <w:sz w:val="18"/>
                <w:szCs w:val="18"/>
              </w:rPr>
              <w:t>Analytical Method</w:t>
            </w:r>
          </w:p>
        </w:tc>
        <w:tc>
          <w:tcPr>
            <w:tcW w:w="1438" w:type="dxa"/>
            <w:shd w:val="clear" w:color="auto" w:fill="1F497D" w:themeFill="text2"/>
            <w:vAlign w:val="center"/>
          </w:tcPr>
          <w:p w:rsidR="000F718C" w:rsidRPr="00E20289" w:rsidRDefault="000F718C" w:rsidP="007B070B">
            <w:pPr>
              <w:pStyle w:val="BodyText0"/>
              <w:jc w:val="center"/>
              <w:cnfStyle w:val="100000000000"/>
              <w:rPr>
                <w:rFonts w:asciiTheme="majorHAnsi" w:hAnsiTheme="majorHAnsi"/>
                <w:sz w:val="18"/>
                <w:szCs w:val="18"/>
              </w:rPr>
            </w:pPr>
            <w:r w:rsidRPr="00E20289">
              <w:rPr>
                <w:rFonts w:asciiTheme="majorHAnsi" w:hAnsiTheme="majorHAnsi"/>
                <w:sz w:val="18"/>
                <w:szCs w:val="18"/>
              </w:rPr>
              <w:t>Laboratory</w:t>
            </w:r>
          </w:p>
        </w:tc>
      </w:tr>
      <w:tr w:rsidR="000F718C" w:rsidTr="00826003">
        <w:trPr>
          <w:cnfStyle w:val="000000100000"/>
          <w:jc w:val="center"/>
        </w:trPr>
        <w:tc>
          <w:tcPr>
            <w:cnfStyle w:val="001000000000"/>
            <w:tcW w:w="1420" w:type="dxa"/>
          </w:tcPr>
          <w:p w:rsidR="000F718C" w:rsidRPr="00694D0B" w:rsidRDefault="000F718C" w:rsidP="007B070B">
            <w:pPr>
              <w:pStyle w:val="BodyText0"/>
              <w:rPr>
                <w:rFonts w:asciiTheme="majorHAnsi" w:hAnsiTheme="majorHAnsi"/>
                <w:sz w:val="18"/>
                <w:szCs w:val="18"/>
              </w:rPr>
            </w:pPr>
            <w:r w:rsidRPr="00694D0B">
              <w:rPr>
                <w:rFonts w:asciiTheme="majorHAnsi" w:hAnsiTheme="majorHAnsi"/>
                <w:sz w:val="18"/>
                <w:szCs w:val="18"/>
              </w:rPr>
              <w:t xml:space="preserve">PCB </w:t>
            </w:r>
            <w:r>
              <w:rPr>
                <w:rFonts w:asciiTheme="majorHAnsi" w:hAnsiTheme="majorHAnsi"/>
                <w:sz w:val="18"/>
                <w:szCs w:val="18"/>
              </w:rPr>
              <w:t>congeners (low-detection limit)</w:t>
            </w:r>
          </w:p>
        </w:tc>
        <w:tc>
          <w:tcPr>
            <w:tcW w:w="1174" w:type="dxa"/>
          </w:tcPr>
          <w:p w:rsidR="000F718C" w:rsidRPr="00694D0B" w:rsidRDefault="000F718C" w:rsidP="007B070B">
            <w:pPr>
              <w:pStyle w:val="BodyText0"/>
              <w:jc w:val="center"/>
              <w:cnfStyle w:val="000000100000"/>
              <w:rPr>
                <w:rFonts w:asciiTheme="majorHAnsi" w:hAnsiTheme="majorHAnsi"/>
                <w:sz w:val="18"/>
                <w:szCs w:val="18"/>
              </w:rPr>
            </w:pPr>
            <w:r>
              <w:rPr>
                <w:rFonts w:asciiTheme="majorHAnsi" w:hAnsiTheme="majorHAnsi"/>
                <w:sz w:val="18"/>
                <w:szCs w:val="18"/>
              </w:rPr>
              <w:t>Solid, liquid</w:t>
            </w:r>
          </w:p>
        </w:tc>
        <w:tc>
          <w:tcPr>
            <w:tcW w:w="1390" w:type="dxa"/>
          </w:tcPr>
          <w:p w:rsidR="000F718C" w:rsidRPr="00694D0B" w:rsidRDefault="000F718C" w:rsidP="007B070B">
            <w:pPr>
              <w:pStyle w:val="BodyText0"/>
              <w:jc w:val="center"/>
              <w:cnfStyle w:val="000000100000"/>
              <w:rPr>
                <w:rFonts w:asciiTheme="majorHAnsi" w:hAnsiTheme="majorHAnsi"/>
                <w:sz w:val="18"/>
                <w:szCs w:val="18"/>
              </w:rPr>
            </w:pPr>
            <w:r>
              <w:rPr>
                <w:rFonts w:asciiTheme="majorHAnsi" w:hAnsiTheme="majorHAnsi"/>
                <w:sz w:val="18"/>
                <w:szCs w:val="18"/>
              </w:rPr>
              <w:t>0.0001 ppb</w:t>
            </w:r>
          </w:p>
        </w:tc>
        <w:tc>
          <w:tcPr>
            <w:tcW w:w="1610" w:type="dxa"/>
          </w:tcPr>
          <w:p w:rsidR="000F718C" w:rsidRPr="00694D0B" w:rsidRDefault="000F718C" w:rsidP="007B070B">
            <w:pPr>
              <w:pStyle w:val="BodyText0"/>
              <w:jc w:val="center"/>
              <w:cnfStyle w:val="000000100000"/>
              <w:rPr>
                <w:rFonts w:asciiTheme="majorHAnsi" w:hAnsiTheme="majorHAnsi"/>
                <w:sz w:val="18"/>
                <w:szCs w:val="18"/>
              </w:rPr>
            </w:pPr>
            <w:r>
              <w:rPr>
                <w:rFonts w:asciiTheme="majorHAnsi" w:hAnsiTheme="majorHAnsi"/>
                <w:sz w:val="18"/>
                <w:szCs w:val="18"/>
              </w:rPr>
              <w:t>0.01-2</w:t>
            </w:r>
            <w:r w:rsidR="009B35F7">
              <w:rPr>
                <w:rFonts w:asciiTheme="majorHAnsi" w:hAnsiTheme="majorHAnsi"/>
                <w:sz w:val="18"/>
                <w:szCs w:val="18"/>
              </w:rPr>
              <w:t>,5</w:t>
            </w:r>
            <w:r>
              <w:rPr>
                <w:rFonts w:asciiTheme="majorHAnsi" w:hAnsiTheme="majorHAnsi"/>
                <w:sz w:val="18"/>
                <w:szCs w:val="18"/>
              </w:rPr>
              <w:t>00</w:t>
            </w:r>
            <w:r w:rsidR="009B35F7">
              <w:rPr>
                <w:rFonts w:asciiTheme="majorHAnsi" w:hAnsiTheme="majorHAnsi"/>
                <w:sz w:val="18"/>
                <w:szCs w:val="18"/>
              </w:rPr>
              <w:t>+</w:t>
            </w:r>
            <w:r>
              <w:rPr>
                <w:rFonts w:asciiTheme="majorHAnsi" w:hAnsiTheme="majorHAnsi"/>
                <w:sz w:val="18"/>
                <w:szCs w:val="18"/>
              </w:rPr>
              <w:t xml:space="preserve"> ppb</w:t>
            </w:r>
          </w:p>
        </w:tc>
        <w:tc>
          <w:tcPr>
            <w:tcW w:w="1393" w:type="dxa"/>
          </w:tcPr>
          <w:p w:rsidR="000F718C" w:rsidRPr="00694D0B" w:rsidRDefault="000F718C" w:rsidP="007B070B">
            <w:pPr>
              <w:pStyle w:val="BodyText0"/>
              <w:jc w:val="center"/>
              <w:cnfStyle w:val="000000100000"/>
              <w:rPr>
                <w:rFonts w:asciiTheme="majorHAnsi" w:hAnsiTheme="majorHAnsi"/>
                <w:sz w:val="18"/>
                <w:szCs w:val="18"/>
              </w:rPr>
            </w:pPr>
            <w:r w:rsidRPr="00694D0B">
              <w:rPr>
                <w:rFonts w:asciiTheme="majorHAnsi" w:hAnsiTheme="majorHAnsi"/>
                <w:sz w:val="18"/>
                <w:szCs w:val="18"/>
              </w:rPr>
              <w:t>EPA 1668C</w:t>
            </w:r>
          </w:p>
        </w:tc>
        <w:tc>
          <w:tcPr>
            <w:tcW w:w="1438" w:type="dxa"/>
          </w:tcPr>
          <w:p w:rsidR="000F718C" w:rsidRPr="00694D0B" w:rsidRDefault="000F718C" w:rsidP="007B070B">
            <w:pPr>
              <w:pStyle w:val="BodyText0"/>
              <w:jc w:val="center"/>
              <w:cnfStyle w:val="000000100000"/>
              <w:rPr>
                <w:rFonts w:asciiTheme="majorHAnsi" w:hAnsiTheme="majorHAnsi"/>
                <w:sz w:val="18"/>
                <w:szCs w:val="18"/>
              </w:rPr>
            </w:pPr>
            <w:r>
              <w:rPr>
                <w:rFonts w:asciiTheme="majorHAnsi" w:hAnsiTheme="majorHAnsi"/>
                <w:sz w:val="18"/>
                <w:szCs w:val="18"/>
              </w:rPr>
              <w:t>Ecology-Accredited</w:t>
            </w:r>
          </w:p>
        </w:tc>
      </w:tr>
      <w:tr w:rsidR="000F718C" w:rsidTr="00826003">
        <w:trPr>
          <w:cnfStyle w:val="000000010000"/>
          <w:jc w:val="center"/>
        </w:trPr>
        <w:tc>
          <w:tcPr>
            <w:cnfStyle w:val="001000000000"/>
            <w:tcW w:w="1420" w:type="dxa"/>
          </w:tcPr>
          <w:p w:rsidR="000F718C" w:rsidRPr="00694D0B" w:rsidRDefault="000F718C" w:rsidP="007B070B">
            <w:pPr>
              <w:pStyle w:val="BodyText0"/>
              <w:rPr>
                <w:rFonts w:asciiTheme="majorHAnsi" w:hAnsiTheme="majorHAnsi"/>
                <w:sz w:val="18"/>
                <w:szCs w:val="18"/>
              </w:rPr>
            </w:pPr>
            <w:r>
              <w:rPr>
                <w:rFonts w:asciiTheme="majorHAnsi" w:hAnsiTheme="majorHAnsi"/>
                <w:sz w:val="18"/>
                <w:szCs w:val="18"/>
              </w:rPr>
              <w:t>PCB congeners (lower cost, higher detection limit)</w:t>
            </w:r>
          </w:p>
        </w:tc>
        <w:tc>
          <w:tcPr>
            <w:tcW w:w="1174" w:type="dxa"/>
          </w:tcPr>
          <w:p w:rsidR="000F718C" w:rsidRDefault="000F718C" w:rsidP="007B070B">
            <w:pPr>
              <w:pStyle w:val="BodyText0"/>
              <w:jc w:val="center"/>
              <w:cnfStyle w:val="000000010000"/>
              <w:rPr>
                <w:rFonts w:asciiTheme="majorHAnsi" w:hAnsiTheme="majorHAnsi"/>
                <w:sz w:val="18"/>
                <w:szCs w:val="18"/>
              </w:rPr>
            </w:pPr>
            <w:r>
              <w:rPr>
                <w:rFonts w:asciiTheme="majorHAnsi" w:hAnsiTheme="majorHAnsi"/>
                <w:sz w:val="18"/>
                <w:szCs w:val="18"/>
              </w:rPr>
              <w:t>Solid, liquid</w:t>
            </w:r>
          </w:p>
        </w:tc>
        <w:tc>
          <w:tcPr>
            <w:tcW w:w="1390" w:type="dxa"/>
          </w:tcPr>
          <w:p w:rsidR="000F718C" w:rsidRDefault="000F718C" w:rsidP="007B070B">
            <w:pPr>
              <w:pStyle w:val="BodyText0"/>
              <w:jc w:val="center"/>
              <w:cnfStyle w:val="000000010000"/>
              <w:rPr>
                <w:rFonts w:asciiTheme="majorHAnsi" w:hAnsiTheme="majorHAnsi"/>
                <w:sz w:val="18"/>
                <w:szCs w:val="18"/>
              </w:rPr>
            </w:pPr>
            <w:r>
              <w:rPr>
                <w:rFonts w:asciiTheme="majorHAnsi" w:hAnsiTheme="majorHAnsi"/>
                <w:sz w:val="18"/>
                <w:szCs w:val="18"/>
              </w:rPr>
              <w:t>0.2 ppb</w:t>
            </w:r>
          </w:p>
        </w:tc>
        <w:tc>
          <w:tcPr>
            <w:tcW w:w="1610" w:type="dxa"/>
          </w:tcPr>
          <w:p w:rsidR="000F718C" w:rsidRDefault="000F718C" w:rsidP="009B35F7">
            <w:pPr>
              <w:pStyle w:val="BodyText0"/>
              <w:jc w:val="center"/>
              <w:cnfStyle w:val="000000010000"/>
              <w:rPr>
                <w:rFonts w:asciiTheme="majorHAnsi" w:hAnsiTheme="majorHAnsi"/>
                <w:sz w:val="18"/>
                <w:szCs w:val="18"/>
              </w:rPr>
            </w:pPr>
            <w:r>
              <w:rPr>
                <w:rFonts w:asciiTheme="majorHAnsi" w:hAnsiTheme="majorHAnsi"/>
                <w:sz w:val="18"/>
                <w:szCs w:val="18"/>
              </w:rPr>
              <w:t>0.</w:t>
            </w:r>
            <w:r w:rsidR="009B35F7">
              <w:rPr>
                <w:rFonts w:asciiTheme="majorHAnsi" w:hAnsiTheme="majorHAnsi"/>
                <w:sz w:val="18"/>
                <w:szCs w:val="18"/>
              </w:rPr>
              <w:t>5</w:t>
            </w:r>
            <w:r>
              <w:rPr>
                <w:rFonts w:asciiTheme="majorHAnsi" w:hAnsiTheme="majorHAnsi"/>
                <w:sz w:val="18"/>
                <w:szCs w:val="18"/>
              </w:rPr>
              <w:t xml:space="preserve"> – 2,500</w:t>
            </w:r>
            <w:r w:rsidR="009B35F7">
              <w:rPr>
                <w:rFonts w:asciiTheme="majorHAnsi" w:hAnsiTheme="majorHAnsi"/>
                <w:sz w:val="18"/>
                <w:szCs w:val="18"/>
              </w:rPr>
              <w:t>+</w:t>
            </w:r>
            <w:r>
              <w:rPr>
                <w:rFonts w:asciiTheme="majorHAnsi" w:hAnsiTheme="majorHAnsi"/>
                <w:sz w:val="18"/>
                <w:szCs w:val="18"/>
              </w:rPr>
              <w:t xml:space="preserve"> ppb</w:t>
            </w:r>
          </w:p>
        </w:tc>
        <w:tc>
          <w:tcPr>
            <w:tcW w:w="1393" w:type="dxa"/>
          </w:tcPr>
          <w:p w:rsidR="000F718C" w:rsidRPr="00694D0B" w:rsidRDefault="000F718C" w:rsidP="007B070B">
            <w:pPr>
              <w:pStyle w:val="BodyText0"/>
              <w:jc w:val="center"/>
              <w:cnfStyle w:val="000000010000"/>
              <w:rPr>
                <w:rFonts w:asciiTheme="majorHAnsi" w:hAnsiTheme="majorHAnsi"/>
                <w:sz w:val="18"/>
                <w:szCs w:val="18"/>
              </w:rPr>
            </w:pPr>
            <w:proofErr w:type="spellStart"/>
            <w:r>
              <w:rPr>
                <w:rFonts w:asciiTheme="majorHAnsi" w:hAnsiTheme="majorHAnsi"/>
                <w:sz w:val="18"/>
                <w:szCs w:val="18"/>
              </w:rPr>
              <w:t>Axys</w:t>
            </w:r>
            <w:proofErr w:type="spellEnd"/>
            <w:r>
              <w:rPr>
                <w:rFonts w:asciiTheme="majorHAnsi" w:hAnsiTheme="majorHAnsi"/>
                <w:sz w:val="18"/>
                <w:szCs w:val="18"/>
              </w:rPr>
              <w:t xml:space="preserve"> MLA-007</w:t>
            </w:r>
          </w:p>
        </w:tc>
        <w:tc>
          <w:tcPr>
            <w:tcW w:w="1438" w:type="dxa"/>
          </w:tcPr>
          <w:p w:rsidR="000F718C" w:rsidRDefault="000F718C" w:rsidP="007B070B">
            <w:pPr>
              <w:pStyle w:val="BodyText0"/>
              <w:jc w:val="center"/>
              <w:cnfStyle w:val="000000010000"/>
              <w:rPr>
                <w:rFonts w:asciiTheme="majorHAnsi" w:hAnsiTheme="majorHAnsi"/>
                <w:sz w:val="18"/>
                <w:szCs w:val="18"/>
              </w:rPr>
            </w:pPr>
            <w:proofErr w:type="spellStart"/>
            <w:r>
              <w:rPr>
                <w:rFonts w:asciiTheme="majorHAnsi" w:hAnsiTheme="majorHAnsi"/>
                <w:sz w:val="18"/>
                <w:szCs w:val="18"/>
              </w:rPr>
              <w:t>Axys</w:t>
            </w:r>
            <w:proofErr w:type="spellEnd"/>
          </w:p>
        </w:tc>
      </w:tr>
    </w:tbl>
    <w:p w:rsidR="00B55CDC" w:rsidRDefault="007B070B" w:rsidP="009D5DDB">
      <w:r>
        <w:t xml:space="preserve"> </w:t>
      </w:r>
    </w:p>
    <w:p w:rsidR="00347E1D" w:rsidRDefault="00347E1D" w:rsidP="009D5DDB">
      <w:r>
        <w:t xml:space="preserve">The </w:t>
      </w:r>
      <w:r>
        <w:rPr>
          <w:rStyle w:val="IntenseReference"/>
        </w:rPr>
        <w:t>Data Management Procedures</w:t>
      </w:r>
      <w:r w:rsidRPr="00B55CDC">
        <w:rPr>
          <w:rStyle w:val="IntenseReference"/>
        </w:rPr>
        <w:t xml:space="preserve"> </w:t>
      </w:r>
      <w:r>
        <w:t xml:space="preserve">in Section 9 will be followed with the exceptions noted below.  Samplers will be asked to fill out a copy of the sample sheet on page 32 of the QAPP, or equivalent.  </w:t>
      </w:r>
    </w:p>
    <w:p w:rsidR="00347E1D" w:rsidRDefault="00347E1D" w:rsidP="00347E1D">
      <w:pPr>
        <w:pStyle w:val="ListParagraph"/>
        <w:numPr>
          <w:ilvl w:val="0"/>
          <w:numId w:val="6"/>
        </w:numPr>
      </w:pPr>
      <w:r>
        <w:t>Field QC samples (replicates, equipment blanks) will not be collected.</w:t>
      </w:r>
    </w:p>
    <w:p w:rsidR="00347E1D" w:rsidRDefault="00347E1D" w:rsidP="00347E1D">
      <w:pPr>
        <w:pStyle w:val="ListParagraph"/>
        <w:numPr>
          <w:ilvl w:val="0"/>
          <w:numId w:val="6"/>
        </w:numPr>
      </w:pPr>
      <w:r>
        <w:lastRenderedPageBreak/>
        <w:t xml:space="preserve">Electronic data management will be </w:t>
      </w:r>
      <w:r w:rsidR="00E9080D">
        <w:t xml:space="preserve">managed through the SRRTTF and/or Ecology’s database as appropriate and available.  </w:t>
      </w:r>
      <w:r w:rsidR="00826003">
        <w:t>An electronic data deliverable (EDD) template will be provided by SRRTTF to the contract laboratory.</w:t>
      </w:r>
      <w:r w:rsidR="00E9080D">
        <w:t xml:space="preserve">  </w:t>
      </w:r>
    </w:p>
    <w:sectPr w:rsidR="00347E1D" w:rsidSect="00E97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0518E"/>
    <w:multiLevelType w:val="hybridMultilevel"/>
    <w:tmpl w:val="07D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A6B4C"/>
    <w:multiLevelType w:val="multilevel"/>
    <w:tmpl w:val="0DB2DBBA"/>
    <w:lvl w:ilvl="0">
      <w:start w:val="1"/>
      <w:numFmt w:val="decimal"/>
      <w:pStyle w:val="Heading1"/>
      <w:suff w:val="space"/>
      <w:lvlText w:val="%1"/>
      <w:lvlJc w:val="left"/>
      <w:pPr>
        <w:ind w:left="360" w:hanging="360"/>
      </w:pPr>
      <w:rPr>
        <w:rFonts w:ascii="Calibri" w:hAnsi="Calibri" w:hint="default"/>
        <w:b/>
        <w:i w:val="0"/>
        <w:color w:val="174A7C"/>
        <w:sz w:val="48"/>
      </w:rPr>
    </w:lvl>
    <w:lvl w:ilvl="1">
      <w:start w:val="1"/>
      <w:numFmt w:val="decimal"/>
      <w:pStyle w:val="Heading2"/>
      <w:suff w:val="space"/>
      <w:lvlText w:val="%1.%2"/>
      <w:lvlJc w:val="left"/>
      <w:pPr>
        <w:ind w:left="720" w:hanging="720"/>
      </w:pPr>
      <w:rPr>
        <w:rFonts w:ascii="Calibri" w:hAnsi="Calibri" w:hint="default"/>
        <w:b/>
        <w:i w:val="0"/>
        <w:color w:val="174A7C"/>
        <w:sz w:val="28"/>
      </w:rPr>
    </w:lvl>
    <w:lvl w:ilvl="2">
      <w:start w:val="1"/>
      <w:numFmt w:val="decimal"/>
      <w:pStyle w:val="Heading3"/>
      <w:suff w:val="space"/>
      <w:lvlText w:val="%1.%2.%3"/>
      <w:lvlJc w:val="left"/>
      <w:pPr>
        <w:ind w:left="1080" w:hanging="1080"/>
      </w:pPr>
      <w:rPr>
        <w:rFonts w:ascii="Calibri" w:hAnsi="Calibri" w:hint="default"/>
        <w:b/>
        <w:i w:val="0"/>
        <w:color w:val="auto"/>
        <w:sz w:val="24"/>
      </w:rPr>
    </w:lvl>
    <w:lvl w:ilvl="3">
      <w:start w:val="1"/>
      <w:numFmt w:val="lowerLetter"/>
      <w:pStyle w:val="Heading4"/>
      <w:suff w:val="space"/>
      <w:lvlText w:val="%1.%2.%3.%4"/>
      <w:lvlJc w:val="left"/>
      <w:pPr>
        <w:ind w:left="1440" w:hanging="1440"/>
      </w:pPr>
      <w:rPr>
        <w:rFonts w:ascii="Calibri" w:hAnsi="Calibri" w:hint="default"/>
        <w:b/>
        <w:i/>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7487FE3"/>
    <w:multiLevelType w:val="hybridMultilevel"/>
    <w:tmpl w:val="F06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3F4E"/>
    <w:rsid w:val="00016D58"/>
    <w:rsid w:val="00063035"/>
    <w:rsid w:val="00086956"/>
    <w:rsid w:val="000F718C"/>
    <w:rsid w:val="0010062E"/>
    <w:rsid w:val="00215C3B"/>
    <w:rsid w:val="00241C5D"/>
    <w:rsid w:val="002674D7"/>
    <w:rsid w:val="00267C0E"/>
    <w:rsid w:val="00344903"/>
    <w:rsid w:val="00347E1D"/>
    <w:rsid w:val="003D5E26"/>
    <w:rsid w:val="004247CB"/>
    <w:rsid w:val="004A055F"/>
    <w:rsid w:val="00583FE4"/>
    <w:rsid w:val="00642392"/>
    <w:rsid w:val="00663C9D"/>
    <w:rsid w:val="0078025C"/>
    <w:rsid w:val="007B070B"/>
    <w:rsid w:val="0080187A"/>
    <w:rsid w:val="00814CFD"/>
    <w:rsid w:val="00822F48"/>
    <w:rsid w:val="00826003"/>
    <w:rsid w:val="00850002"/>
    <w:rsid w:val="008958D0"/>
    <w:rsid w:val="009066B8"/>
    <w:rsid w:val="009532DA"/>
    <w:rsid w:val="009B35F7"/>
    <w:rsid w:val="009D5DDB"/>
    <w:rsid w:val="009E30E7"/>
    <w:rsid w:val="009F3FA1"/>
    <w:rsid w:val="00A75A72"/>
    <w:rsid w:val="00AE139D"/>
    <w:rsid w:val="00B06E61"/>
    <w:rsid w:val="00B377EE"/>
    <w:rsid w:val="00B55CDC"/>
    <w:rsid w:val="00B71A5D"/>
    <w:rsid w:val="00C020E4"/>
    <w:rsid w:val="00C90737"/>
    <w:rsid w:val="00CA6F9D"/>
    <w:rsid w:val="00CB2AF7"/>
    <w:rsid w:val="00CB3F4E"/>
    <w:rsid w:val="00CC4726"/>
    <w:rsid w:val="00D0087D"/>
    <w:rsid w:val="00D25141"/>
    <w:rsid w:val="00DB773B"/>
    <w:rsid w:val="00DE181D"/>
    <w:rsid w:val="00E56A18"/>
    <w:rsid w:val="00E83A04"/>
    <w:rsid w:val="00E9080D"/>
    <w:rsid w:val="00E97747"/>
    <w:rsid w:val="00EE36B8"/>
    <w:rsid w:val="00F133A2"/>
    <w:rsid w:val="00F306CD"/>
    <w:rsid w:val="00FF16E2"/>
    <w:rsid w:val="00FF6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E"/>
    <w:pPr>
      <w:spacing w:line="276" w:lineRule="auto"/>
    </w:pPr>
    <w:rPr>
      <w:rFonts w:ascii="Cambria" w:hAnsi="Cambria"/>
      <w:szCs w:val="24"/>
    </w:rPr>
  </w:style>
  <w:style w:type="paragraph" w:styleId="Heading1">
    <w:name w:val="heading 1"/>
    <w:next w:val="Normal"/>
    <w:link w:val="Heading1Char"/>
    <w:qFormat/>
    <w:rsid w:val="00CB3F4E"/>
    <w:pPr>
      <w:keepNext/>
      <w:keepLines/>
      <w:numPr>
        <w:numId w:val="4"/>
      </w:numPr>
      <w:pBdr>
        <w:bottom w:val="single" w:sz="36" w:space="4" w:color="174A7C"/>
      </w:pBdr>
      <w:spacing w:before="500" w:after="240"/>
      <w:outlineLvl w:val="0"/>
    </w:pPr>
    <w:rPr>
      <w:rFonts w:asciiTheme="majorHAnsi" w:eastAsiaTheme="majorEastAsia" w:hAnsiTheme="majorHAnsi" w:cstheme="majorBidi"/>
      <w:b/>
      <w:bCs/>
      <w:color w:val="174A7C"/>
      <w:sz w:val="40"/>
      <w:szCs w:val="28"/>
    </w:rPr>
  </w:style>
  <w:style w:type="paragraph" w:styleId="Heading2">
    <w:name w:val="heading 2"/>
    <w:basedOn w:val="Normal"/>
    <w:next w:val="Normal"/>
    <w:link w:val="Heading2Char"/>
    <w:unhideWhenUsed/>
    <w:qFormat/>
    <w:rsid w:val="00CB3F4E"/>
    <w:pPr>
      <w:keepNext/>
      <w:keepLines/>
      <w:numPr>
        <w:ilvl w:val="1"/>
        <w:numId w:val="4"/>
      </w:numPr>
      <w:spacing w:before="200"/>
      <w:outlineLvl w:val="1"/>
    </w:pPr>
    <w:rPr>
      <w:rFonts w:asciiTheme="majorHAnsi" w:eastAsiaTheme="majorEastAsia" w:hAnsiTheme="majorHAnsi" w:cstheme="majorBidi"/>
      <w:b/>
      <w:bCs/>
      <w:color w:val="174A7C"/>
      <w:sz w:val="28"/>
      <w:szCs w:val="26"/>
    </w:rPr>
  </w:style>
  <w:style w:type="paragraph" w:styleId="Heading3">
    <w:name w:val="heading 3"/>
    <w:basedOn w:val="Normal"/>
    <w:next w:val="Normal"/>
    <w:link w:val="Heading3Char"/>
    <w:semiHidden/>
    <w:unhideWhenUsed/>
    <w:qFormat/>
    <w:rsid w:val="00CB3F4E"/>
    <w:pPr>
      <w:keepNext/>
      <w:keepLines/>
      <w:numPr>
        <w:ilvl w:val="2"/>
        <w:numId w:val="4"/>
      </w:numPr>
      <w:spacing w:before="20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semiHidden/>
    <w:unhideWhenUsed/>
    <w:qFormat/>
    <w:rsid w:val="00CB3F4E"/>
    <w:pPr>
      <w:keepNext/>
      <w:keepLines/>
      <w:numPr>
        <w:ilvl w:val="3"/>
        <w:numId w:val="4"/>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semiHidden/>
    <w:unhideWhenUsed/>
    <w:qFormat/>
    <w:rsid w:val="003449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449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449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44903"/>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34490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F4E"/>
    <w:rPr>
      <w:rFonts w:asciiTheme="majorHAnsi" w:eastAsiaTheme="majorEastAsia" w:hAnsiTheme="majorHAnsi" w:cstheme="majorBidi"/>
      <w:b/>
      <w:bCs/>
      <w:color w:val="174A7C"/>
      <w:sz w:val="40"/>
      <w:szCs w:val="28"/>
    </w:rPr>
  </w:style>
  <w:style w:type="character" w:customStyle="1" w:styleId="Heading2Char">
    <w:name w:val="Heading 2 Char"/>
    <w:basedOn w:val="DefaultParagraphFont"/>
    <w:link w:val="Heading2"/>
    <w:rsid w:val="00CB3F4E"/>
    <w:rPr>
      <w:rFonts w:asciiTheme="majorHAnsi" w:eastAsiaTheme="majorEastAsia" w:hAnsiTheme="majorHAnsi" w:cstheme="majorBidi"/>
      <w:b/>
      <w:bCs/>
      <w:color w:val="174A7C"/>
      <w:sz w:val="28"/>
      <w:szCs w:val="26"/>
    </w:rPr>
  </w:style>
  <w:style w:type="character" w:customStyle="1" w:styleId="Heading3Char">
    <w:name w:val="Heading 3 Char"/>
    <w:basedOn w:val="DefaultParagraphFont"/>
    <w:link w:val="Heading3"/>
    <w:semiHidden/>
    <w:rsid w:val="00CB3F4E"/>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rsid w:val="00CB3F4E"/>
    <w:rPr>
      <w:rFonts w:asciiTheme="majorHAnsi" w:eastAsiaTheme="majorEastAsia" w:hAnsiTheme="majorHAnsi" w:cstheme="majorBidi"/>
      <w:b/>
      <w:bCs/>
      <w:i/>
      <w:iCs/>
      <w:color w:val="000000" w:themeColor="text1"/>
      <w:szCs w:val="24"/>
    </w:rPr>
  </w:style>
  <w:style w:type="character" w:customStyle="1" w:styleId="Heading5Char">
    <w:name w:val="Heading 5 Char"/>
    <w:basedOn w:val="DefaultParagraphFont"/>
    <w:link w:val="Heading5"/>
    <w:semiHidden/>
    <w:rsid w:val="0034490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semiHidden/>
    <w:rsid w:val="0034490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34490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34490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44903"/>
    <w:rPr>
      <w:rFonts w:asciiTheme="majorHAnsi" w:eastAsiaTheme="majorEastAsia" w:hAnsiTheme="majorHAnsi" w:cstheme="majorBidi"/>
      <w:i/>
      <w:iCs/>
      <w:color w:val="404040" w:themeColor="text1" w:themeTint="BF"/>
    </w:rPr>
  </w:style>
  <w:style w:type="paragraph" w:styleId="Caption">
    <w:name w:val="caption"/>
    <w:basedOn w:val="Normal"/>
    <w:next w:val="Normal"/>
    <w:unhideWhenUsed/>
    <w:qFormat/>
    <w:rsid w:val="00CB3F4E"/>
    <w:pPr>
      <w:spacing w:before="60" w:after="60" w:line="240" w:lineRule="auto"/>
    </w:pPr>
    <w:rPr>
      <w:b/>
      <w:bCs/>
      <w:color w:val="174A7C"/>
      <w:szCs w:val="18"/>
    </w:rPr>
  </w:style>
  <w:style w:type="paragraph" w:styleId="Title">
    <w:name w:val="Title"/>
    <w:basedOn w:val="Normal"/>
    <w:next w:val="Normal"/>
    <w:link w:val="TitleChar"/>
    <w:qFormat/>
    <w:rsid w:val="00CB3F4E"/>
    <w:pPr>
      <w:pBdr>
        <w:bottom w:val="single" w:sz="36" w:space="4" w:color="174A7C"/>
      </w:pBdr>
      <w:spacing w:after="300" w:line="240" w:lineRule="auto"/>
      <w:contextualSpacing/>
      <w:jc w:val="right"/>
    </w:pPr>
    <w:rPr>
      <w:rFonts w:asciiTheme="majorHAnsi" w:eastAsiaTheme="majorEastAsia" w:hAnsiTheme="majorHAnsi" w:cstheme="majorBidi"/>
      <w:b/>
      <w:color w:val="174A7C"/>
      <w:spacing w:val="5"/>
      <w:kern w:val="28"/>
      <w:sz w:val="40"/>
      <w:szCs w:val="52"/>
    </w:rPr>
  </w:style>
  <w:style w:type="character" w:customStyle="1" w:styleId="TitleChar">
    <w:name w:val="Title Char"/>
    <w:basedOn w:val="DefaultParagraphFont"/>
    <w:link w:val="Title"/>
    <w:rsid w:val="00CB3F4E"/>
    <w:rPr>
      <w:rFonts w:asciiTheme="majorHAnsi" w:eastAsiaTheme="majorEastAsia" w:hAnsiTheme="majorHAnsi" w:cstheme="majorBidi"/>
      <w:b/>
      <w:color w:val="174A7C"/>
      <w:spacing w:val="5"/>
      <w:kern w:val="28"/>
      <w:sz w:val="40"/>
      <w:szCs w:val="52"/>
    </w:rPr>
  </w:style>
  <w:style w:type="paragraph" w:styleId="Subtitle">
    <w:name w:val="Subtitle"/>
    <w:next w:val="Normal"/>
    <w:link w:val="SubtitleChar"/>
    <w:qFormat/>
    <w:rsid w:val="00344903"/>
    <w:pPr>
      <w:numPr>
        <w:ilvl w:val="1"/>
      </w:numPr>
      <w:spacing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44903"/>
    <w:rPr>
      <w:rFonts w:asciiTheme="majorHAnsi" w:eastAsiaTheme="majorEastAsia" w:hAnsiTheme="majorHAnsi" w:cstheme="majorBidi"/>
      <w:i/>
      <w:iCs/>
      <w:color w:val="4F81BD" w:themeColor="accent1"/>
      <w:spacing w:val="15"/>
      <w:sz w:val="24"/>
      <w:szCs w:val="24"/>
    </w:rPr>
  </w:style>
  <w:style w:type="character" w:styleId="Strong">
    <w:name w:val="Strong"/>
    <w:qFormat/>
    <w:rsid w:val="00344903"/>
    <w:rPr>
      <w:b/>
      <w:bCs/>
    </w:rPr>
  </w:style>
  <w:style w:type="character" w:styleId="Emphasis">
    <w:name w:val="Emphasis"/>
    <w:qFormat/>
    <w:rsid w:val="00344903"/>
    <w:rPr>
      <w:i/>
      <w:iCs/>
    </w:rPr>
  </w:style>
  <w:style w:type="paragraph" w:styleId="NoSpacing">
    <w:name w:val="No Spacing"/>
    <w:basedOn w:val="Normal"/>
    <w:link w:val="NoSpacingChar"/>
    <w:uiPriority w:val="1"/>
    <w:qFormat/>
    <w:rsid w:val="00344903"/>
    <w:pPr>
      <w:spacing w:line="240" w:lineRule="auto"/>
    </w:pPr>
  </w:style>
  <w:style w:type="character" w:customStyle="1" w:styleId="NoSpacingChar">
    <w:name w:val="No Spacing Char"/>
    <w:basedOn w:val="DefaultParagraphFont"/>
    <w:link w:val="NoSpacing"/>
    <w:uiPriority w:val="1"/>
    <w:rsid w:val="00344903"/>
    <w:rPr>
      <w:rFonts w:ascii="Cambria" w:hAnsi="Cambria"/>
      <w:szCs w:val="24"/>
    </w:rPr>
  </w:style>
  <w:style w:type="paragraph" w:styleId="ListParagraph">
    <w:name w:val="List Paragraph"/>
    <w:basedOn w:val="Normal"/>
    <w:uiPriority w:val="34"/>
    <w:qFormat/>
    <w:rsid w:val="00CB3F4E"/>
    <w:pPr>
      <w:ind w:left="360"/>
      <w:contextualSpacing/>
    </w:pPr>
  </w:style>
  <w:style w:type="paragraph" w:styleId="Quote">
    <w:name w:val="Quote"/>
    <w:basedOn w:val="Normal"/>
    <w:next w:val="Normal"/>
    <w:link w:val="QuoteChar"/>
    <w:uiPriority w:val="29"/>
    <w:qFormat/>
    <w:rsid w:val="00344903"/>
    <w:rPr>
      <w:i/>
      <w:iCs/>
      <w:color w:val="000000" w:themeColor="text1"/>
    </w:rPr>
  </w:style>
  <w:style w:type="character" w:customStyle="1" w:styleId="QuoteChar">
    <w:name w:val="Quote Char"/>
    <w:basedOn w:val="DefaultParagraphFont"/>
    <w:link w:val="Quote"/>
    <w:uiPriority w:val="29"/>
    <w:rsid w:val="00344903"/>
    <w:rPr>
      <w:rFonts w:ascii="Cambria" w:hAnsi="Cambria"/>
      <w:i/>
      <w:iCs/>
      <w:color w:val="000000" w:themeColor="text1"/>
      <w:szCs w:val="24"/>
    </w:rPr>
  </w:style>
  <w:style w:type="paragraph" w:styleId="IntenseQuote">
    <w:name w:val="Intense Quote"/>
    <w:basedOn w:val="Normal"/>
    <w:next w:val="Normal"/>
    <w:link w:val="IntenseQuoteChar"/>
    <w:uiPriority w:val="30"/>
    <w:qFormat/>
    <w:rsid w:val="0034490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344903"/>
    <w:rPr>
      <w:rFonts w:ascii="Cambria" w:eastAsiaTheme="majorEastAsia" w:hAnsi="Cambria" w:cstheme="majorBidi"/>
      <w:b/>
      <w:bCs/>
      <w:i/>
      <w:iCs/>
      <w:color w:val="4F81BD" w:themeColor="accent1"/>
      <w:szCs w:val="24"/>
    </w:rPr>
  </w:style>
  <w:style w:type="character" w:styleId="SubtleEmphasis">
    <w:name w:val="Subtle Emphasis"/>
    <w:uiPriority w:val="19"/>
    <w:qFormat/>
    <w:rsid w:val="00344903"/>
    <w:rPr>
      <w:i/>
      <w:iCs/>
      <w:color w:val="808080" w:themeColor="text1" w:themeTint="7F"/>
    </w:rPr>
  </w:style>
  <w:style w:type="character" w:styleId="IntenseEmphasis">
    <w:name w:val="Intense Emphasis"/>
    <w:uiPriority w:val="21"/>
    <w:qFormat/>
    <w:rsid w:val="00344903"/>
    <w:rPr>
      <w:b/>
      <w:bCs/>
      <w:i/>
      <w:iCs/>
      <w:color w:val="4F81BD" w:themeColor="accent1"/>
    </w:rPr>
  </w:style>
  <w:style w:type="character" w:styleId="SubtleReference">
    <w:name w:val="Subtle Reference"/>
    <w:uiPriority w:val="31"/>
    <w:qFormat/>
    <w:rsid w:val="00344903"/>
    <w:rPr>
      <w:smallCaps/>
      <w:color w:val="C0504D" w:themeColor="accent2"/>
      <w:u w:val="single"/>
    </w:rPr>
  </w:style>
  <w:style w:type="character" w:styleId="IntenseReference">
    <w:name w:val="Intense Reference"/>
    <w:uiPriority w:val="32"/>
    <w:qFormat/>
    <w:rsid w:val="00344903"/>
    <w:rPr>
      <w:b/>
      <w:bCs/>
      <w:smallCaps/>
      <w:color w:val="C0504D" w:themeColor="accent2"/>
      <w:spacing w:val="5"/>
      <w:u w:val="single"/>
    </w:rPr>
  </w:style>
  <w:style w:type="character" w:styleId="BookTitle">
    <w:name w:val="Book Title"/>
    <w:basedOn w:val="DefaultParagraphFont"/>
    <w:uiPriority w:val="33"/>
    <w:qFormat/>
    <w:rsid w:val="00CB3F4E"/>
    <w:rPr>
      <w:rFonts w:asciiTheme="majorHAnsi" w:hAnsiTheme="majorHAnsi"/>
      <w:b/>
      <w:bCs/>
      <w:smallCaps/>
      <w:spacing w:val="5"/>
      <w:sz w:val="28"/>
    </w:rPr>
  </w:style>
  <w:style w:type="paragraph" w:styleId="TOCHeading">
    <w:name w:val="TOC Heading"/>
    <w:basedOn w:val="Heading1"/>
    <w:next w:val="Normal"/>
    <w:uiPriority w:val="39"/>
    <w:semiHidden/>
    <w:unhideWhenUsed/>
    <w:qFormat/>
    <w:rsid w:val="00344903"/>
    <w:pPr>
      <w:numPr>
        <w:numId w:val="0"/>
      </w:numPr>
      <w:pBdr>
        <w:bottom w:val="none" w:sz="0" w:space="0" w:color="auto"/>
      </w:pBdr>
      <w:spacing w:before="480" w:after="0" w:line="276" w:lineRule="auto"/>
      <w:outlineLvl w:val="9"/>
    </w:pPr>
    <w:rPr>
      <w:color w:val="365F91" w:themeColor="accent1" w:themeShade="BF"/>
      <w:sz w:val="28"/>
    </w:rPr>
  </w:style>
  <w:style w:type="paragraph" w:customStyle="1" w:styleId="BodyText">
    <w:name w:val="Body_Text"/>
    <w:basedOn w:val="Normal"/>
    <w:qFormat/>
    <w:rsid w:val="00CB3F4E"/>
    <w:pPr>
      <w:spacing w:before="120" w:after="120"/>
    </w:pPr>
  </w:style>
  <w:style w:type="paragraph" w:customStyle="1" w:styleId="FrontEndTitleText">
    <w:name w:val="Front_End_Title_Text"/>
    <w:basedOn w:val="Normal"/>
    <w:qFormat/>
    <w:rsid w:val="00CB3F4E"/>
    <w:pPr>
      <w:ind w:right="720"/>
      <w:jc w:val="right"/>
    </w:pPr>
    <w:rPr>
      <w:rFonts w:ascii="Calibri" w:hAnsi="Calibri"/>
      <w:b/>
      <w:sz w:val="32"/>
    </w:rPr>
  </w:style>
  <w:style w:type="paragraph" w:customStyle="1" w:styleId="Figure">
    <w:name w:val="Figure"/>
    <w:basedOn w:val="BodyText"/>
    <w:qFormat/>
    <w:rsid w:val="00CB3F4E"/>
    <w:pPr>
      <w:spacing w:before="200" w:after="200" w:line="240" w:lineRule="auto"/>
    </w:pPr>
  </w:style>
  <w:style w:type="paragraph" w:customStyle="1" w:styleId="Notes">
    <w:name w:val="Notes"/>
    <w:basedOn w:val="BodyText"/>
    <w:qFormat/>
    <w:rsid w:val="00CB3F4E"/>
    <w:pPr>
      <w:spacing w:before="60" w:after="40" w:line="240" w:lineRule="auto"/>
      <w:ind w:left="432" w:right="432"/>
    </w:pPr>
    <w:rPr>
      <w:rFonts w:ascii="Calibri" w:hAnsi="Calibri"/>
      <w:sz w:val="18"/>
    </w:rPr>
  </w:style>
  <w:style w:type="paragraph" w:customStyle="1" w:styleId="Quote1">
    <w:name w:val="Quote1"/>
    <w:basedOn w:val="BodyText"/>
    <w:next w:val="BodyText"/>
    <w:qFormat/>
    <w:rsid w:val="00CB3F4E"/>
    <w:pPr>
      <w:ind w:left="720" w:right="720"/>
    </w:pPr>
    <w:rPr>
      <w:i/>
      <w:sz w:val="18"/>
    </w:rPr>
  </w:style>
  <w:style w:type="paragraph" w:customStyle="1" w:styleId="TableText">
    <w:name w:val="Table_Text"/>
    <w:qFormat/>
    <w:rsid w:val="00CB3F4E"/>
    <w:pPr>
      <w:spacing w:before="20" w:after="20"/>
    </w:pPr>
    <w:rPr>
      <w:rFonts w:ascii="Calibri" w:hAnsi="Calibri"/>
      <w:color w:val="000000" w:themeColor="text1"/>
      <w:szCs w:val="24"/>
    </w:rPr>
  </w:style>
  <w:style w:type="paragraph" w:customStyle="1" w:styleId="ListNumbers">
    <w:name w:val="List_Numbers"/>
    <w:basedOn w:val="Normal"/>
    <w:qFormat/>
    <w:rsid w:val="00CB3F4E"/>
    <w:pPr>
      <w:spacing w:before="40" w:after="40"/>
    </w:pPr>
  </w:style>
  <w:style w:type="paragraph" w:customStyle="1" w:styleId="Heading1NoNumber">
    <w:name w:val="Heading_1_No_Number"/>
    <w:basedOn w:val="Heading1"/>
    <w:qFormat/>
    <w:rsid w:val="00CB3F4E"/>
    <w:pPr>
      <w:numPr>
        <w:numId w:val="0"/>
      </w:numPr>
    </w:pPr>
  </w:style>
  <w:style w:type="paragraph" w:customStyle="1" w:styleId="Heading2NoNumber">
    <w:name w:val="Heading_2_No_Number"/>
    <w:basedOn w:val="Heading2"/>
    <w:qFormat/>
    <w:rsid w:val="00CB3F4E"/>
    <w:pPr>
      <w:numPr>
        <w:ilvl w:val="0"/>
        <w:numId w:val="0"/>
      </w:numPr>
    </w:pPr>
  </w:style>
  <w:style w:type="paragraph" w:customStyle="1" w:styleId="CaptionTable">
    <w:name w:val="Caption Table"/>
    <w:basedOn w:val="Caption"/>
    <w:next w:val="Normal"/>
    <w:qFormat/>
    <w:rsid w:val="00CB3F4E"/>
    <w:pPr>
      <w:keepNext/>
      <w:widowControl w:val="0"/>
      <w:spacing w:before="120" w:after="0"/>
      <w:outlineLvl w:val="0"/>
    </w:pPr>
    <w:rPr>
      <w:rFonts w:asciiTheme="majorHAnsi" w:hAnsiTheme="majorHAnsi"/>
      <w:bCs w:val="0"/>
      <w:color w:val="auto"/>
      <w:sz w:val="22"/>
      <w:szCs w:val="20"/>
    </w:rPr>
  </w:style>
  <w:style w:type="paragraph" w:styleId="BodyText0">
    <w:name w:val="Body Text"/>
    <w:basedOn w:val="Normal"/>
    <w:link w:val="BodyTextChar"/>
    <w:rsid w:val="007B070B"/>
    <w:pPr>
      <w:spacing w:before="120" w:after="120"/>
    </w:pPr>
  </w:style>
  <w:style w:type="character" w:customStyle="1" w:styleId="BodyTextChar">
    <w:name w:val="Body Text Char"/>
    <w:basedOn w:val="DefaultParagraphFont"/>
    <w:link w:val="BodyText0"/>
    <w:rsid w:val="007B070B"/>
    <w:rPr>
      <w:rFonts w:ascii="Cambria" w:hAnsi="Cambria"/>
      <w:szCs w:val="24"/>
    </w:rPr>
  </w:style>
  <w:style w:type="table" w:customStyle="1" w:styleId="MediumShading1-Accent12">
    <w:name w:val="Medium Shading 1 - Accent 12"/>
    <w:basedOn w:val="TableNormal"/>
    <w:uiPriority w:val="63"/>
    <w:rsid w:val="007B070B"/>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FF662A"/>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E"/>
    <w:pPr>
      <w:spacing w:line="276" w:lineRule="auto"/>
    </w:pPr>
    <w:rPr>
      <w:rFonts w:ascii="Cambria" w:hAnsi="Cambria"/>
      <w:szCs w:val="24"/>
    </w:rPr>
  </w:style>
  <w:style w:type="paragraph" w:styleId="Heading1">
    <w:name w:val="heading 1"/>
    <w:next w:val="Normal"/>
    <w:link w:val="Heading1Char"/>
    <w:qFormat/>
    <w:rsid w:val="00CB3F4E"/>
    <w:pPr>
      <w:keepNext/>
      <w:keepLines/>
      <w:numPr>
        <w:numId w:val="4"/>
      </w:numPr>
      <w:pBdr>
        <w:bottom w:val="single" w:sz="36" w:space="4" w:color="174A7C"/>
      </w:pBdr>
      <w:spacing w:before="500" w:after="240"/>
      <w:outlineLvl w:val="0"/>
    </w:pPr>
    <w:rPr>
      <w:rFonts w:asciiTheme="majorHAnsi" w:eastAsiaTheme="majorEastAsia" w:hAnsiTheme="majorHAnsi" w:cstheme="majorBidi"/>
      <w:b/>
      <w:bCs/>
      <w:color w:val="174A7C"/>
      <w:sz w:val="40"/>
      <w:szCs w:val="28"/>
    </w:rPr>
  </w:style>
  <w:style w:type="paragraph" w:styleId="Heading2">
    <w:name w:val="heading 2"/>
    <w:basedOn w:val="Normal"/>
    <w:next w:val="Normal"/>
    <w:link w:val="Heading2Char"/>
    <w:unhideWhenUsed/>
    <w:qFormat/>
    <w:rsid w:val="00CB3F4E"/>
    <w:pPr>
      <w:keepNext/>
      <w:keepLines/>
      <w:numPr>
        <w:ilvl w:val="1"/>
        <w:numId w:val="4"/>
      </w:numPr>
      <w:spacing w:before="200"/>
      <w:outlineLvl w:val="1"/>
    </w:pPr>
    <w:rPr>
      <w:rFonts w:asciiTheme="majorHAnsi" w:eastAsiaTheme="majorEastAsia" w:hAnsiTheme="majorHAnsi" w:cstheme="majorBidi"/>
      <w:b/>
      <w:bCs/>
      <w:color w:val="174A7C"/>
      <w:sz w:val="28"/>
      <w:szCs w:val="26"/>
    </w:rPr>
  </w:style>
  <w:style w:type="paragraph" w:styleId="Heading3">
    <w:name w:val="heading 3"/>
    <w:basedOn w:val="Normal"/>
    <w:next w:val="Normal"/>
    <w:link w:val="Heading3Char"/>
    <w:semiHidden/>
    <w:unhideWhenUsed/>
    <w:qFormat/>
    <w:rsid w:val="00CB3F4E"/>
    <w:pPr>
      <w:keepNext/>
      <w:keepLines/>
      <w:numPr>
        <w:ilvl w:val="2"/>
        <w:numId w:val="4"/>
      </w:numPr>
      <w:spacing w:before="20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semiHidden/>
    <w:unhideWhenUsed/>
    <w:qFormat/>
    <w:rsid w:val="00CB3F4E"/>
    <w:pPr>
      <w:keepNext/>
      <w:keepLines/>
      <w:numPr>
        <w:ilvl w:val="3"/>
        <w:numId w:val="4"/>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semiHidden/>
    <w:unhideWhenUsed/>
    <w:qFormat/>
    <w:rsid w:val="003449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449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449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44903"/>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34490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F4E"/>
    <w:rPr>
      <w:rFonts w:asciiTheme="majorHAnsi" w:eastAsiaTheme="majorEastAsia" w:hAnsiTheme="majorHAnsi" w:cstheme="majorBidi"/>
      <w:b/>
      <w:bCs/>
      <w:color w:val="174A7C"/>
      <w:sz w:val="40"/>
      <w:szCs w:val="28"/>
    </w:rPr>
  </w:style>
  <w:style w:type="character" w:customStyle="1" w:styleId="Heading2Char">
    <w:name w:val="Heading 2 Char"/>
    <w:basedOn w:val="DefaultParagraphFont"/>
    <w:link w:val="Heading2"/>
    <w:rsid w:val="00CB3F4E"/>
    <w:rPr>
      <w:rFonts w:asciiTheme="majorHAnsi" w:eastAsiaTheme="majorEastAsia" w:hAnsiTheme="majorHAnsi" w:cstheme="majorBidi"/>
      <w:b/>
      <w:bCs/>
      <w:color w:val="174A7C"/>
      <w:sz w:val="28"/>
      <w:szCs w:val="26"/>
    </w:rPr>
  </w:style>
  <w:style w:type="character" w:customStyle="1" w:styleId="Heading3Char">
    <w:name w:val="Heading 3 Char"/>
    <w:basedOn w:val="DefaultParagraphFont"/>
    <w:link w:val="Heading3"/>
    <w:semiHidden/>
    <w:rsid w:val="00CB3F4E"/>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rsid w:val="00CB3F4E"/>
    <w:rPr>
      <w:rFonts w:asciiTheme="majorHAnsi" w:eastAsiaTheme="majorEastAsia" w:hAnsiTheme="majorHAnsi" w:cstheme="majorBidi"/>
      <w:b/>
      <w:bCs/>
      <w:i/>
      <w:iCs/>
      <w:color w:val="000000" w:themeColor="text1"/>
      <w:szCs w:val="24"/>
    </w:rPr>
  </w:style>
  <w:style w:type="character" w:customStyle="1" w:styleId="Heading5Char">
    <w:name w:val="Heading 5 Char"/>
    <w:basedOn w:val="DefaultParagraphFont"/>
    <w:link w:val="Heading5"/>
    <w:semiHidden/>
    <w:rsid w:val="0034490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semiHidden/>
    <w:rsid w:val="0034490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34490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34490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44903"/>
    <w:rPr>
      <w:rFonts w:asciiTheme="majorHAnsi" w:eastAsiaTheme="majorEastAsia" w:hAnsiTheme="majorHAnsi" w:cstheme="majorBidi"/>
      <w:i/>
      <w:iCs/>
      <w:color w:val="404040" w:themeColor="text1" w:themeTint="BF"/>
    </w:rPr>
  </w:style>
  <w:style w:type="paragraph" w:styleId="Caption">
    <w:name w:val="caption"/>
    <w:basedOn w:val="Normal"/>
    <w:next w:val="Normal"/>
    <w:unhideWhenUsed/>
    <w:qFormat/>
    <w:rsid w:val="00CB3F4E"/>
    <w:pPr>
      <w:spacing w:before="60" w:after="60" w:line="240" w:lineRule="auto"/>
    </w:pPr>
    <w:rPr>
      <w:b/>
      <w:bCs/>
      <w:color w:val="174A7C"/>
      <w:szCs w:val="18"/>
    </w:rPr>
  </w:style>
  <w:style w:type="paragraph" w:styleId="Title">
    <w:name w:val="Title"/>
    <w:basedOn w:val="Normal"/>
    <w:next w:val="Normal"/>
    <w:link w:val="TitleChar"/>
    <w:qFormat/>
    <w:rsid w:val="00CB3F4E"/>
    <w:pPr>
      <w:pBdr>
        <w:bottom w:val="single" w:sz="36" w:space="4" w:color="174A7C"/>
      </w:pBdr>
      <w:spacing w:after="300" w:line="240" w:lineRule="auto"/>
      <w:contextualSpacing/>
      <w:jc w:val="right"/>
    </w:pPr>
    <w:rPr>
      <w:rFonts w:asciiTheme="majorHAnsi" w:eastAsiaTheme="majorEastAsia" w:hAnsiTheme="majorHAnsi" w:cstheme="majorBidi"/>
      <w:b/>
      <w:color w:val="174A7C"/>
      <w:spacing w:val="5"/>
      <w:kern w:val="28"/>
      <w:sz w:val="40"/>
      <w:szCs w:val="52"/>
    </w:rPr>
  </w:style>
  <w:style w:type="character" w:customStyle="1" w:styleId="TitleChar">
    <w:name w:val="Title Char"/>
    <w:basedOn w:val="DefaultParagraphFont"/>
    <w:link w:val="Title"/>
    <w:rsid w:val="00CB3F4E"/>
    <w:rPr>
      <w:rFonts w:asciiTheme="majorHAnsi" w:eastAsiaTheme="majorEastAsia" w:hAnsiTheme="majorHAnsi" w:cstheme="majorBidi"/>
      <w:b/>
      <w:color w:val="174A7C"/>
      <w:spacing w:val="5"/>
      <w:kern w:val="28"/>
      <w:sz w:val="40"/>
      <w:szCs w:val="52"/>
    </w:rPr>
  </w:style>
  <w:style w:type="paragraph" w:styleId="Subtitle">
    <w:name w:val="Subtitle"/>
    <w:next w:val="Normal"/>
    <w:link w:val="SubtitleChar"/>
    <w:qFormat/>
    <w:rsid w:val="00344903"/>
    <w:pPr>
      <w:numPr>
        <w:ilvl w:val="1"/>
      </w:numPr>
      <w:spacing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44903"/>
    <w:rPr>
      <w:rFonts w:asciiTheme="majorHAnsi" w:eastAsiaTheme="majorEastAsia" w:hAnsiTheme="majorHAnsi" w:cstheme="majorBidi"/>
      <w:i/>
      <w:iCs/>
      <w:color w:val="4F81BD" w:themeColor="accent1"/>
      <w:spacing w:val="15"/>
      <w:sz w:val="24"/>
      <w:szCs w:val="24"/>
    </w:rPr>
  </w:style>
  <w:style w:type="character" w:styleId="Strong">
    <w:name w:val="Strong"/>
    <w:qFormat/>
    <w:rsid w:val="00344903"/>
    <w:rPr>
      <w:b/>
      <w:bCs/>
    </w:rPr>
  </w:style>
  <w:style w:type="character" w:styleId="Emphasis">
    <w:name w:val="Emphasis"/>
    <w:qFormat/>
    <w:rsid w:val="00344903"/>
    <w:rPr>
      <w:i/>
      <w:iCs/>
    </w:rPr>
  </w:style>
  <w:style w:type="paragraph" w:styleId="NoSpacing">
    <w:name w:val="No Spacing"/>
    <w:basedOn w:val="Normal"/>
    <w:link w:val="NoSpacingChar"/>
    <w:uiPriority w:val="1"/>
    <w:qFormat/>
    <w:rsid w:val="00344903"/>
    <w:pPr>
      <w:spacing w:line="240" w:lineRule="auto"/>
    </w:pPr>
  </w:style>
  <w:style w:type="character" w:customStyle="1" w:styleId="NoSpacingChar">
    <w:name w:val="No Spacing Char"/>
    <w:basedOn w:val="DefaultParagraphFont"/>
    <w:link w:val="NoSpacing"/>
    <w:uiPriority w:val="1"/>
    <w:rsid w:val="00344903"/>
    <w:rPr>
      <w:rFonts w:ascii="Cambria" w:hAnsi="Cambria"/>
      <w:szCs w:val="24"/>
    </w:rPr>
  </w:style>
  <w:style w:type="paragraph" w:styleId="ListParagraph">
    <w:name w:val="List Paragraph"/>
    <w:basedOn w:val="Normal"/>
    <w:uiPriority w:val="34"/>
    <w:qFormat/>
    <w:rsid w:val="00CB3F4E"/>
    <w:pPr>
      <w:ind w:left="360"/>
      <w:contextualSpacing/>
    </w:pPr>
  </w:style>
  <w:style w:type="paragraph" w:styleId="Quote">
    <w:name w:val="Quote"/>
    <w:basedOn w:val="Normal"/>
    <w:next w:val="Normal"/>
    <w:link w:val="QuoteChar"/>
    <w:uiPriority w:val="29"/>
    <w:qFormat/>
    <w:rsid w:val="00344903"/>
    <w:rPr>
      <w:i/>
      <w:iCs/>
      <w:color w:val="000000" w:themeColor="text1"/>
    </w:rPr>
  </w:style>
  <w:style w:type="character" w:customStyle="1" w:styleId="QuoteChar">
    <w:name w:val="Quote Char"/>
    <w:basedOn w:val="DefaultParagraphFont"/>
    <w:link w:val="Quote"/>
    <w:uiPriority w:val="29"/>
    <w:rsid w:val="00344903"/>
    <w:rPr>
      <w:rFonts w:ascii="Cambria" w:hAnsi="Cambria"/>
      <w:i/>
      <w:iCs/>
      <w:color w:val="000000" w:themeColor="text1"/>
      <w:szCs w:val="24"/>
    </w:rPr>
  </w:style>
  <w:style w:type="paragraph" w:styleId="IntenseQuote">
    <w:name w:val="Intense Quote"/>
    <w:basedOn w:val="Normal"/>
    <w:next w:val="Normal"/>
    <w:link w:val="IntenseQuoteChar"/>
    <w:uiPriority w:val="30"/>
    <w:qFormat/>
    <w:rsid w:val="0034490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344903"/>
    <w:rPr>
      <w:rFonts w:ascii="Cambria" w:eastAsiaTheme="majorEastAsia" w:hAnsi="Cambria" w:cstheme="majorBidi"/>
      <w:b/>
      <w:bCs/>
      <w:i/>
      <w:iCs/>
      <w:color w:val="4F81BD" w:themeColor="accent1"/>
      <w:szCs w:val="24"/>
    </w:rPr>
  </w:style>
  <w:style w:type="character" w:styleId="SubtleEmphasis">
    <w:name w:val="Subtle Emphasis"/>
    <w:uiPriority w:val="19"/>
    <w:qFormat/>
    <w:rsid w:val="00344903"/>
    <w:rPr>
      <w:i/>
      <w:iCs/>
      <w:color w:val="808080" w:themeColor="text1" w:themeTint="7F"/>
    </w:rPr>
  </w:style>
  <w:style w:type="character" w:styleId="IntenseEmphasis">
    <w:name w:val="Intense Emphasis"/>
    <w:uiPriority w:val="21"/>
    <w:qFormat/>
    <w:rsid w:val="00344903"/>
    <w:rPr>
      <w:b/>
      <w:bCs/>
      <w:i/>
      <w:iCs/>
      <w:color w:val="4F81BD" w:themeColor="accent1"/>
    </w:rPr>
  </w:style>
  <w:style w:type="character" w:styleId="SubtleReference">
    <w:name w:val="Subtle Reference"/>
    <w:uiPriority w:val="31"/>
    <w:qFormat/>
    <w:rsid w:val="00344903"/>
    <w:rPr>
      <w:smallCaps/>
      <w:color w:val="C0504D" w:themeColor="accent2"/>
      <w:u w:val="single"/>
    </w:rPr>
  </w:style>
  <w:style w:type="character" w:styleId="IntenseReference">
    <w:name w:val="Intense Reference"/>
    <w:uiPriority w:val="32"/>
    <w:qFormat/>
    <w:rsid w:val="00344903"/>
    <w:rPr>
      <w:b/>
      <w:bCs/>
      <w:smallCaps/>
      <w:color w:val="C0504D" w:themeColor="accent2"/>
      <w:spacing w:val="5"/>
      <w:u w:val="single"/>
    </w:rPr>
  </w:style>
  <w:style w:type="character" w:styleId="BookTitle">
    <w:name w:val="Book Title"/>
    <w:basedOn w:val="DefaultParagraphFont"/>
    <w:uiPriority w:val="33"/>
    <w:qFormat/>
    <w:rsid w:val="00CB3F4E"/>
    <w:rPr>
      <w:rFonts w:asciiTheme="majorHAnsi" w:hAnsiTheme="majorHAnsi"/>
      <w:b/>
      <w:bCs/>
      <w:smallCaps/>
      <w:spacing w:val="5"/>
      <w:sz w:val="28"/>
    </w:rPr>
  </w:style>
  <w:style w:type="paragraph" w:styleId="TOCHeading">
    <w:name w:val="TOC Heading"/>
    <w:basedOn w:val="Heading1"/>
    <w:next w:val="Normal"/>
    <w:uiPriority w:val="39"/>
    <w:semiHidden/>
    <w:unhideWhenUsed/>
    <w:qFormat/>
    <w:rsid w:val="00344903"/>
    <w:pPr>
      <w:numPr>
        <w:numId w:val="0"/>
      </w:numPr>
      <w:pBdr>
        <w:bottom w:val="none" w:sz="0" w:space="0" w:color="auto"/>
      </w:pBdr>
      <w:spacing w:before="480" w:after="0" w:line="276" w:lineRule="auto"/>
      <w:outlineLvl w:val="9"/>
    </w:pPr>
    <w:rPr>
      <w:color w:val="365F91" w:themeColor="accent1" w:themeShade="BF"/>
      <w:sz w:val="28"/>
    </w:rPr>
  </w:style>
  <w:style w:type="paragraph" w:customStyle="1" w:styleId="BodyText">
    <w:name w:val="Body_Text"/>
    <w:basedOn w:val="Normal"/>
    <w:qFormat/>
    <w:rsid w:val="00CB3F4E"/>
    <w:pPr>
      <w:spacing w:before="120" w:after="120"/>
    </w:pPr>
  </w:style>
  <w:style w:type="paragraph" w:customStyle="1" w:styleId="FrontEndTitleText">
    <w:name w:val="Front_End_Title_Text"/>
    <w:basedOn w:val="Normal"/>
    <w:qFormat/>
    <w:rsid w:val="00CB3F4E"/>
    <w:pPr>
      <w:ind w:right="720"/>
      <w:jc w:val="right"/>
    </w:pPr>
    <w:rPr>
      <w:rFonts w:ascii="Calibri" w:hAnsi="Calibri"/>
      <w:b/>
      <w:sz w:val="32"/>
    </w:rPr>
  </w:style>
  <w:style w:type="paragraph" w:customStyle="1" w:styleId="Figure">
    <w:name w:val="Figure"/>
    <w:basedOn w:val="BodyText"/>
    <w:qFormat/>
    <w:rsid w:val="00CB3F4E"/>
    <w:pPr>
      <w:spacing w:before="200" w:after="200" w:line="240" w:lineRule="auto"/>
    </w:pPr>
  </w:style>
  <w:style w:type="paragraph" w:customStyle="1" w:styleId="Notes">
    <w:name w:val="Notes"/>
    <w:basedOn w:val="BodyText"/>
    <w:qFormat/>
    <w:rsid w:val="00CB3F4E"/>
    <w:pPr>
      <w:spacing w:before="60" w:after="40" w:line="240" w:lineRule="auto"/>
      <w:ind w:left="432" w:right="432"/>
    </w:pPr>
    <w:rPr>
      <w:rFonts w:ascii="Calibri" w:hAnsi="Calibri"/>
      <w:sz w:val="18"/>
    </w:rPr>
  </w:style>
  <w:style w:type="paragraph" w:customStyle="1" w:styleId="Quote1">
    <w:name w:val="Quote1"/>
    <w:basedOn w:val="BodyText"/>
    <w:next w:val="BodyText"/>
    <w:qFormat/>
    <w:rsid w:val="00CB3F4E"/>
    <w:pPr>
      <w:ind w:left="720" w:right="720"/>
    </w:pPr>
    <w:rPr>
      <w:i/>
      <w:sz w:val="18"/>
    </w:rPr>
  </w:style>
  <w:style w:type="paragraph" w:customStyle="1" w:styleId="TableText">
    <w:name w:val="Table_Text"/>
    <w:qFormat/>
    <w:rsid w:val="00CB3F4E"/>
    <w:pPr>
      <w:spacing w:before="20" w:after="20"/>
    </w:pPr>
    <w:rPr>
      <w:rFonts w:ascii="Calibri" w:hAnsi="Calibri"/>
      <w:color w:val="000000" w:themeColor="text1"/>
      <w:szCs w:val="24"/>
    </w:rPr>
  </w:style>
  <w:style w:type="paragraph" w:customStyle="1" w:styleId="ListNumbers">
    <w:name w:val="List_Numbers"/>
    <w:basedOn w:val="Normal"/>
    <w:qFormat/>
    <w:rsid w:val="00CB3F4E"/>
    <w:pPr>
      <w:spacing w:before="40" w:after="40"/>
    </w:pPr>
  </w:style>
  <w:style w:type="paragraph" w:customStyle="1" w:styleId="Heading1NoNumber">
    <w:name w:val="Heading_1_No_Number"/>
    <w:basedOn w:val="Heading1"/>
    <w:qFormat/>
    <w:rsid w:val="00CB3F4E"/>
    <w:pPr>
      <w:numPr>
        <w:numId w:val="0"/>
      </w:numPr>
    </w:pPr>
  </w:style>
  <w:style w:type="paragraph" w:customStyle="1" w:styleId="Heading2NoNumber">
    <w:name w:val="Heading_2_No_Number"/>
    <w:basedOn w:val="Heading2"/>
    <w:qFormat/>
    <w:rsid w:val="00CB3F4E"/>
    <w:pPr>
      <w:numPr>
        <w:ilvl w:val="0"/>
        <w:numId w:val="0"/>
      </w:numPr>
    </w:pPr>
  </w:style>
  <w:style w:type="paragraph" w:customStyle="1" w:styleId="CaptionTable">
    <w:name w:val="Caption Table"/>
    <w:basedOn w:val="Caption"/>
    <w:next w:val="Normal"/>
    <w:qFormat/>
    <w:rsid w:val="00CB3F4E"/>
    <w:pPr>
      <w:keepNext/>
      <w:widowControl w:val="0"/>
      <w:spacing w:before="120" w:after="0"/>
      <w:outlineLvl w:val="0"/>
    </w:pPr>
    <w:rPr>
      <w:rFonts w:asciiTheme="majorHAnsi" w:hAnsiTheme="majorHAnsi"/>
      <w:bCs w:val="0"/>
      <w:color w:val="auto"/>
      <w:sz w:val="22"/>
      <w:szCs w:val="20"/>
    </w:rPr>
  </w:style>
  <w:style w:type="paragraph" w:styleId="BodyText0">
    <w:name w:val="Body Text"/>
    <w:basedOn w:val="Normal"/>
    <w:link w:val="BodyTextChar"/>
    <w:rsid w:val="007B070B"/>
    <w:pPr>
      <w:spacing w:before="120" w:after="120"/>
    </w:pPr>
  </w:style>
  <w:style w:type="character" w:customStyle="1" w:styleId="BodyTextChar">
    <w:name w:val="Body Text Char"/>
    <w:basedOn w:val="DefaultParagraphFont"/>
    <w:link w:val="BodyText0"/>
    <w:rsid w:val="007B070B"/>
    <w:rPr>
      <w:rFonts w:ascii="Cambria" w:hAnsi="Cambria"/>
      <w:szCs w:val="24"/>
    </w:rPr>
  </w:style>
  <w:style w:type="table" w:customStyle="1" w:styleId="MediumShading1-Accent12">
    <w:name w:val="Medium Shading 1 - Accent 12"/>
    <w:basedOn w:val="TableNormal"/>
    <w:uiPriority w:val="63"/>
    <w:rsid w:val="007B070B"/>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FF662A"/>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lschmidt</dc:creator>
  <cp:lastModifiedBy>Kara Whitman</cp:lastModifiedBy>
  <cp:revision>2</cp:revision>
  <dcterms:created xsi:type="dcterms:W3CDTF">2015-05-20T21:29:00Z</dcterms:created>
  <dcterms:modified xsi:type="dcterms:W3CDTF">2015-05-20T21:29:00Z</dcterms:modified>
</cp:coreProperties>
</file>