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47" w:rsidRPr="00AD41DD" w:rsidRDefault="004A0047" w:rsidP="008E4B88">
      <w:pPr>
        <w:pStyle w:val="BasicParagraph"/>
        <w:suppressAutoHyphens/>
        <w:ind w:left="360"/>
        <w:rPr>
          <w:rFonts w:ascii="Times New Roman" w:hAnsi="Times New Roman" w:cs="Times New Roman"/>
          <w:i/>
          <w:iCs/>
          <w:sz w:val="16"/>
          <w:szCs w:val="16"/>
        </w:rPr>
      </w:pPr>
    </w:p>
    <w:p w:rsidR="008A58C8" w:rsidRDefault="008A58C8" w:rsidP="00124CA7">
      <w:pPr>
        <w:pStyle w:val="BasicParagraph"/>
        <w:suppressAutoHyphens/>
        <w:ind w:left="360"/>
        <w:jc w:val="center"/>
        <w:rPr>
          <w:b/>
          <w:color w:val="0087B4"/>
          <w:sz w:val="28"/>
          <w:szCs w:val="28"/>
        </w:rPr>
      </w:pPr>
    </w:p>
    <w:p w:rsidR="008A58C8" w:rsidRDefault="008A58C8" w:rsidP="00124CA7">
      <w:pPr>
        <w:pStyle w:val="BasicParagraph"/>
        <w:suppressAutoHyphens/>
        <w:ind w:left="360"/>
        <w:jc w:val="center"/>
        <w:rPr>
          <w:b/>
          <w:color w:val="0087B4"/>
          <w:sz w:val="28"/>
          <w:szCs w:val="28"/>
        </w:rPr>
      </w:pPr>
    </w:p>
    <w:p w:rsidR="00124CA7" w:rsidRPr="00173A7B" w:rsidRDefault="00124CA7" w:rsidP="00124CA7">
      <w:pPr>
        <w:pStyle w:val="BasicParagraph"/>
        <w:suppressAutoHyphens/>
        <w:ind w:left="360"/>
        <w:jc w:val="center"/>
        <w:rPr>
          <w:b/>
          <w:color w:val="0087B4"/>
          <w:sz w:val="28"/>
          <w:szCs w:val="28"/>
        </w:rPr>
      </w:pPr>
      <w:r w:rsidRPr="00173A7B">
        <w:rPr>
          <w:b/>
          <w:color w:val="0087B4"/>
          <w:sz w:val="28"/>
          <w:szCs w:val="28"/>
        </w:rPr>
        <w:t>SPOKANE RIVER REGIONAL TOXICS TASK FORCE</w:t>
      </w:r>
    </w:p>
    <w:p w:rsidR="008A58C8" w:rsidRDefault="008A58C8" w:rsidP="00124CA7">
      <w:pPr>
        <w:autoSpaceDE w:val="0"/>
        <w:autoSpaceDN w:val="0"/>
        <w:adjustRightInd w:val="0"/>
        <w:spacing w:after="0" w:line="240" w:lineRule="auto"/>
        <w:jc w:val="center"/>
        <w:rPr>
          <w:b/>
          <w:color w:val="0087B4"/>
          <w:sz w:val="28"/>
          <w:szCs w:val="28"/>
        </w:rPr>
      </w:pPr>
    </w:p>
    <w:p w:rsidR="00B556FB" w:rsidRDefault="002A5194" w:rsidP="00AF6C29">
      <w:pPr>
        <w:pStyle w:val="Title"/>
        <w:jc w:val="center"/>
      </w:pPr>
      <w:r>
        <w:t>HYDROSEED</w:t>
      </w:r>
      <w:r w:rsidR="004A0BEF">
        <w:t xml:space="preserve"> PILOT PROJECT</w:t>
      </w:r>
      <w:r w:rsidR="0013653B">
        <w:t xml:space="preserve"> </w:t>
      </w:r>
    </w:p>
    <w:p w:rsidR="007C146B" w:rsidRDefault="008A58C8" w:rsidP="00AF6C29">
      <w:pPr>
        <w:pStyle w:val="Title"/>
        <w:jc w:val="center"/>
      </w:pPr>
      <w:r>
        <w:t>SUMMARY REPORT</w:t>
      </w:r>
    </w:p>
    <w:p w:rsidR="008A58C8" w:rsidRDefault="008A58C8" w:rsidP="00124CA7">
      <w:pPr>
        <w:autoSpaceDE w:val="0"/>
        <w:autoSpaceDN w:val="0"/>
        <w:adjustRightInd w:val="0"/>
        <w:spacing w:after="0" w:line="240" w:lineRule="auto"/>
        <w:jc w:val="center"/>
        <w:rPr>
          <w:b/>
          <w:color w:val="0087B4"/>
          <w:sz w:val="28"/>
          <w:szCs w:val="28"/>
        </w:rPr>
      </w:pPr>
    </w:p>
    <w:p w:rsidR="008A58C8" w:rsidRDefault="008A58C8" w:rsidP="00124CA7">
      <w:pPr>
        <w:autoSpaceDE w:val="0"/>
        <w:autoSpaceDN w:val="0"/>
        <w:adjustRightInd w:val="0"/>
        <w:spacing w:after="0" w:line="240" w:lineRule="auto"/>
        <w:jc w:val="center"/>
        <w:rPr>
          <w:b/>
          <w:color w:val="0087B4"/>
          <w:sz w:val="28"/>
          <w:szCs w:val="28"/>
        </w:rPr>
      </w:pPr>
    </w:p>
    <w:p w:rsidR="008A58C8" w:rsidRDefault="008A58C8" w:rsidP="00C215BA">
      <w:pPr>
        <w:jc w:val="center"/>
      </w:pPr>
      <w:r>
        <w:t>July 31, 2015</w:t>
      </w:r>
    </w:p>
    <w:p w:rsidR="00C215BA" w:rsidRDefault="00C215BA" w:rsidP="008A58C8">
      <w:pPr>
        <w:jc w:val="center"/>
      </w:pPr>
    </w:p>
    <w:p w:rsidR="008A58C8" w:rsidRPr="00C853E2" w:rsidRDefault="008A58C8" w:rsidP="00C215BA">
      <w:pPr>
        <w:pStyle w:val="Subtitle"/>
        <w:jc w:val="center"/>
      </w:pPr>
      <w:r w:rsidRPr="00C853E2">
        <w:t xml:space="preserve">SRRTTF </w:t>
      </w:r>
      <w:r w:rsidR="002A5194">
        <w:t>Hydroseed</w:t>
      </w:r>
      <w:r w:rsidRPr="00C853E2">
        <w:t xml:space="preserve"> Project Team:</w:t>
      </w:r>
    </w:p>
    <w:p w:rsidR="008A58C8" w:rsidRDefault="008A58C8" w:rsidP="00C215BA">
      <w:pPr>
        <w:spacing w:after="0"/>
        <w:jc w:val="center"/>
      </w:pPr>
      <w:r w:rsidRPr="00C853E2">
        <w:t>Doug Krapas (Lead), Inland Empire Paper Company</w:t>
      </w:r>
    </w:p>
    <w:p w:rsidR="008A58C8" w:rsidRPr="00C853E2" w:rsidRDefault="008A58C8" w:rsidP="00C215BA">
      <w:pPr>
        <w:spacing w:after="0"/>
        <w:jc w:val="center"/>
      </w:pPr>
      <w:r w:rsidRPr="00C853E2">
        <w:t>John Beacham, City of Post Falls</w:t>
      </w:r>
    </w:p>
    <w:p w:rsidR="008A58C8" w:rsidRDefault="008A58C8" w:rsidP="00C215BA">
      <w:pPr>
        <w:spacing w:after="0"/>
        <w:jc w:val="center"/>
      </w:pPr>
      <w:r w:rsidRPr="00C853E2">
        <w:t>Jeffrey Bell, Gallatin Public Affairs</w:t>
      </w:r>
    </w:p>
    <w:p w:rsidR="008A58C8" w:rsidRDefault="008A58C8" w:rsidP="00C215BA">
      <w:pPr>
        <w:spacing w:after="0"/>
        <w:jc w:val="center"/>
      </w:pPr>
      <w:r w:rsidRPr="00C853E2">
        <w:t>Adriane P. Borgias, WA Department of Ecology</w:t>
      </w:r>
    </w:p>
    <w:p w:rsidR="00CD6D9F" w:rsidRPr="00C853E2" w:rsidRDefault="00CD6D9F" w:rsidP="00C215BA">
      <w:pPr>
        <w:spacing w:after="0"/>
        <w:jc w:val="center"/>
      </w:pPr>
      <w:r>
        <w:t>Jeff Donovan, City of Spokane</w:t>
      </w:r>
    </w:p>
    <w:p w:rsidR="008A58C8" w:rsidRDefault="008A58C8" w:rsidP="00C215BA">
      <w:pPr>
        <w:spacing w:after="0"/>
        <w:jc w:val="center"/>
      </w:pPr>
      <w:r w:rsidRPr="00C853E2">
        <w:t>Brandon Iwasaki, WA Department of Transportation</w:t>
      </w:r>
    </w:p>
    <w:p w:rsidR="008A58C8" w:rsidRPr="00C853E2" w:rsidRDefault="008A58C8" w:rsidP="00C215BA">
      <w:pPr>
        <w:spacing w:after="0"/>
        <w:jc w:val="center"/>
      </w:pPr>
      <w:r w:rsidRPr="00C853E2">
        <w:t>Greg Lahti, WA Department of Transportation</w:t>
      </w:r>
    </w:p>
    <w:p w:rsidR="008A58C8" w:rsidRDefault="008A58C8" w:rsidP="00C215BA">
      <w:pPr>
        <w:spacing w:after="0"/>
        <w:jc w:val="center"/>
      </w:pPr>
      <w:r w:rsidRPr="00381136">
        <w:t>Lyn</w:t>
      </w:r>
      <w:r>
        <w:t>n Schmidt, City of Spokane</w:t>
      </w:r>
    </w:p>
    <w:p w:rsidR="008A58C8" w:rsidRDefault="008A58C8" w:rsidP="00C215BA">
      <w:pPr>
        <w:spacing w:after="0"/>
        <w:jc w:val="center"/>
      </w:pPr>
      <w:r w:rsidRPr="00381136">
        <w:t>Eric Williams, Gallatin Public Affairs</w:t>
      </w:r>
    </w:p>
    <w:p w:rsidR="008A58C8" w:rsidRPr="00C853E2" w:rsidRDefault="008A58C8" w:rsidP="008A58C8">
      <w:pPr>
        <w:spacing w:after="0"/>
        <w:rPr>
          <w:rFonts w:ascii="Times New Roman" w:hAnsi="Times New Roman"/>
          <w:b/>
        </w:rPr>
      </w:pPr>
    </w:p>
    <w:p w:rsidR="008A58C8" w:rsidRDefault="008A58C8" w:rsidP="008A58C8">
      <w:pPr>
        <w:jc w:val="center"/>
      </w:pPr>
    </w:p>
    <w:p w:rsidR="004A0BEF" w:rsidRPr="00143EF0" w:rsidRDefault="004A0BEF" w:rsidP="008A58C8">
      <w:pPr>
        <w:jc w:val="center"/>
      </w:pPr>
    </w:p>
    <w:p w:rsidR="00381136" w:rsidRPr="00C853E2" w:rsidRDefault="00381136" w:rsidP="008A58C8">
      <w:pPr>
        <w:jc w:val="center"/>
        <w:rPr>
          <w:rFonts w:ascii="Times New Roman" w:hAnsi="Times New Roman"/>
        </w:rPr>
      </w:pPr>
    </w:p>
    <w:p w:rsidR="008A58C8" w:rsidRDefault="008A58C8" w:rsidP="008A58C8">
      <w:pPr>
        <w:jc w:val="center"/>
        <w:rPr>
          <w:rFonts w:ascii="Times New Roman" w:hAnsi="Times New Roman"/>
        </w:rPr>
      </w:pPr>
      <w:r>
        <w:rPr>
          <w:rFonts w:ascii="Times New Roman" w:hAnsi="Times New Roman"/>
        </w:rPr>
        <w:br w:type="page"/>
      </w:r>
    </w:p>
    <w:p w:rsidR="008A58C8" w:rsidRDefault="008A58C8" w:rsidP="004A0BEF">
      <w:pPr>
        <w:spacing w:after="0"/>
        <w:rPr>
          <w:rFonts w:ascii="Times New Roman" w:hAnsi="Times New Roman"/>
          <w:b/>
        </w:rPr>
        <w:sectPr w:rsidR="008A58C8" w:rsidSect="007C146B">
          <w:headerReference w:type="default" r:id="rId8"/>
          <w:footerReference w:type="default" r:id="rId9"/>
          <w:pgSz w:w="12240" w:h="15840"/>
          <w:pgMar w:top="720" w:right="1080" w:bottom="720" w:left="720" w:header="720" w:footer="720" w:gutter="0"/>
          <w:cols w:space="720"/>
          <w:docGrid w:linePitch="360"/>
        </w:sectPr>
      </w:pPr>
    </w:p>
    <w:p w:rsidR="002A1029" w:rsidRDefault="002A1029" w:rsidP="002A1029">
      <w:pPr>
        <w:spacing w:after="0"/>
        <w:rPr>
          <w:rFonts w:ascii="Times New Roman" w:hAnsi="Times New Roman"/>
          <w:b/>
        </w:rPr>
      </w:pPr>
      <w:r>
        <w:rPr>
          <w:rStyle w:val="Heading1Char"/>
          <w:rFonts w:eastAsia="Calibri"/>
        </w:rPr>
        <w:lastRenderedPageBreak/>
        <w:t>Definitions</w:t>
      </w:r>
    </w:p>
    <w:p w:rsidR="007906FD" w:rsidRDefault="007906FD" w:rsidP="00DC72CF">
      <w:pPr>
        <w:spacing w:after="0"/>
      </w:pPr>
    </w:p>
    <w:p w:rsidR="007906FD" w:rsidRDefault="007906FD" w:rsidP="007906FD">
      <w:pPr>
        <w:spacing w:after="0"/>
      </w:pPr>
      <w:r w:rsidRPr="003A3F0E">
        <w:rPr>
          <w:b/>
        </w:rPr>
        <w:t>Arolcors</w:t>
      </w:r>
      <w:r>
        <w:t xml:space="preserve"> - trade name of the commercial PCB mixtures manufactured by the Monsanto Chemical Company and sold in the United States.  </w:t>
      </w:r>
      <w:r w:rsidR="003A3F0E" w:rsidRPr="003A3F0E">
        <w:t>An Aroclor PCB mixture might consist of over 100 different individual PCB congeners</w:t>
      </w:r>
      <w:r w:rsidR="003A3F0E">
        <w:t xml:space="preserve">.  There were </w:t>
      </w:r>
      <w:r w:rsidRPr="007906FD">
        <w:t xml:space="preserve">nine common PCB Aroclor mixtures (1221, 1232, 1242, 1016, 1248, 1254, 1260, 1262, and 1268), and each of them has a distinctive gas chromatographic pattern.  </w:t>
      </w:r>
    </w:p>
    <w:p w:rsidR="007906FD" w:rsidRDefault="007906FD" w:rsidP="00DC72CF">
      <w:pPr>
        <w:spacing w:after="0"/>
      </w:pPr>
    </w:p>
    <w:p w:rsidR="007906FD" w:rsidRDefault="007906FD" w:rsidP="00DC72CF">
      <w:pPr>
        <w:spacing w:after="0"/>
      </w:pPr>
      <w:r w:rsidRPr="007906FD">
        <w:rPr>
          <w:b/>
        </w:rPr>
        <w:t>Congeners</w:t>
      </w:r>
      <w:r>
        <w:rPr>
          <w:b/>
        </w:rPr>
        <w:t xml:space="preserve"> - </w:t>
      </w:r>
      <w:r w:rsidRPr="007906FD">
        <w:t xml:space="preserve">any single, unique well-defined chemical compound in the PCB category. </w:t>
      </w:r>
      <w:r>
        <w:t xml:space="preserve"> </w:t>
      </w:r>
      <w:r w:rsidRPr="007906FD">
        <w:t>Individual congeners are identified by the number and position of the chlorine atoms around the biphenyl rings</w:t>
      </w:r>
      <w:r>
        <w:t xml:space="preserve">.  There are a total of </w:t>
      </w:r>
      <w:r w:rsidRPr="007906FD">
        <w:t xml:space="preserve">209 </w:t>
      </w:r>
      <w:r>
        <w:t xml:space="preserve">different </w:t>
      </w:r>
      <w:r w:rsidRPr="007906FD">
        <w:t xml:space="preserve">PCB congeners. </w:t>
      </w:r>
    </w:p>
    <w:p w:rsidR="007906FD" w:rsidRDefault="007906FD" w:rsidP="00DC72CF">
      <w:pPr>
        <w:spacing w:after="0"/>
      </w:pPr>
    </w:p>
    <w:p w:rsidR="007906FD" w:rsidRDefault="007906FD" w:rsidP="00DC72CF">
      <w:pPr>
        <w:spacing w:after="0"/>
      </w:pPr>
      <w:r w:rsidRPr="007906FD">
        <w:rPr>
          <w:b/>
        </w:rPr>
        <w:t>Homolog</w:t>
      </w:r>
      <w:r w:rsidR="00484F40">
        <w:rPr>
          <w:b/>
        </w:rPr>
        <w:t>ue</w:t>
      </w:r>
      <w:r w:rsidRPr="007906FD">
        <w:rPr>
          <w:b/>
        </w:rPr>
        <w:t>s</w:t>
      </w:r>
      <w:r>
        <w:t xml:space="preserve"> - </w:t>
      </w:r>
      <w:r w:rsidRPr="007906FD">
        <w:t>subcategories of PCB congeners having equal numbers of chlorine substitu</w:t>
      </w:r>
      <w:r w:rsidR="008C1F5F">
        <w:t>tions</w:t>
      </w:r>
      <w:r w:rsidRPr="007906FD">
        <w:t xml:space="preserve">.  </w:t>
      </w:r>
      <w:r w:rsidR="003A3F0E" w:rsidRPr="003A3F0E">
        <w:t xml:space="preserve">All the PCB chemicals that have the same number of chlorine atoms are said to belong to the same homolog group.  </w:t>
      </w:r>
      <w:r w:rsidR="003A3F0E">
        <w:t xml:space="preserve">Homolog groupings </w:t>
      </w:r>
      <w:r w:rsidR="003A3F0E" w:rsidRPr="003A3F0E">
        <w:t xml:space="preserve">can vary from one to ten.  </w:t>
      </w:r>
    </w:p>
    <w:p w:rsidR="007906FD" w:rsidRDefault="007906FD" w:rsidP="00DC72CF">
      <w:pPr>
        <w:spacing w:after="0"/>
      </w:pPr>
    </w:p>
    <w:p w:rsidR="002A1029" w:rsidRPr="006B0054" w:rsidRDefault="002A5194" w:rsidP="00DC72CF">
      <w:pPr>
        <w:spacing w:after="0"/>
        <w:rPr>
          <w:rFonts w:asciiTheme="minorHAnsi" w:hAnsiTheme="minorHAnsi"/>
        </w:rPr>
      </w:pPr>
      <w:r>
        <w:rPr>
          <w:rFonts w:asciiTheme="minorHAnsi" w:hAnsiTheme="minorHAnsi"/>
          <w:b/>
        </w:rPr>
        <w:t>Hydroseed</w:t>
      </w:r>
      <w:r w:rsidR="002A1029" w:rsidRPr="006B0054">
        <w:rPr>
          <w:rFonts w:asciiTheme="minorHAnsi" w:hAnsiTheme="minorHAnsi"/>
          <w:b/>
        </w:rPr>
        <w:t xml:space="preserve"> </w:t>
      </w:r>
      <w:r w:rsidR="002A1029" w:rsidRPr="006B0054">
        <w:rPr>
          <w:rFonts w:asciiTheme="minorHAnsi" w:hAnsiTheme="minorHAnsi"/>
        </w:rPr>
        <w:t xml:space="preserve">(or </w:t>
      </w:r>
      <w:r w:rsidR="003913FC" w:rsidRPr="003913FC">
        <w:rPr>
          <w:rFonts w:asciiTheme="minorHAnsi" w:hAnsiTheme="minorHAnsi"/>
        </w:rPr>
        <w:t xml:space="preserve">Hydraulically </w:t>
      </w:r>
      <w:r w:rsidR="003913FC">
        <w:rPr>
          <w:rFonts w:asciiTheme="minorHAnsi" w:hAnsiTheme="minorHAnsi"/>
        </w:rPr>
        <w:t xml:space="preserve">Applied Erosion Control Product, </w:t>
      </w:r>
      <w:r w:rsidR="002A1029" w:rsidRPr="006B0054">
        <w:rPr>
          <w:rFonts w:asciiTheme="minorHAnsi" w:hAnsiTheme="minorHAnsi"/>
        </w:rPr>
        <w:t>hydraulic mulch seeding, hydro-mulching, hydraseeding</w:t>
      </w:r>
      <w:r w:rsidR="003913FC">
        <w:rPr>
          <w:rFonts w:asciiTheme="minorHAnsi" w:hAnsiTheme="minorHAnsi"/>
        </w:rPr>
        <w:t xml:space="preserve">, </w:t>
      </w:r>
      <w:r w:rsidR="002A1029" w:rsidRPr="006B0054">
        <w:rPr>
          <w:rFonts w:asciiTheme="minorHAnsi" w:hAnsiTheme="minorHAnsi"/>
        </w:rPr>
        <w:t>) - is a planting process that uses a slurry of seed and mulch. The slurry is transported in a tank, either truck or trailer mounted and sprayed over prepared ground.</w:t>
      </w:r>
    </w:p>
    <w:p w:rsidR="006B0054" w:rsidRDefault="006B0054" w:rsidP="00DC72CF">
      <w:pPr>
        <w:spacing w:after="0"/>
        <w:rPr>
          <w:rFonts w:asciiTheme="minorHAnsi" w:hAnsiTheme="minorHAnsi"/>
          <w:b/>
        </w:rPr>
      </w:pPr>
    </w:p>
    <w:p w:rsidR="00933688" w:rsidRDefault="00933688" w:rsidP="00DC72CF">
      <w:pPr>
        <w:spacing w:after="0"/>
        <w:rPr>
          <w:rFonts w:asciiTheme="minorHAnsi" w:hAnsiTheme="minorHAnsi"/>
        </w:rPr>
      </w:pPr>
      <w:r>
        <w:rPr>
          <w:rFonts w:asciiTheme="minorHAnsi" w:hAnsiTheme="minorHAnsi"/>
          <w:b/>
        </w:rPr>
        <w:t xml:space="preserve">PCBs - </w:t>
      </w:r>
      <w:r w:rsidRPr="00AF3618">
        <w:rPr>
          <w:rFonts w:asciiTheme="minorHAnsi" w:hAnsiTheme="minorHAnsi"/>
        </w:rPr>
        <w:t>a synthetic organic chemical compound o</w:t>
      </w:r>
      <w:r w:rsidR="00AF3618">
        <w:rPr>
          <w:rFonts w:asciiTheme="minorHAnsi" w:hAnsiTheme="minorHAnsi"/>
        </w:rPr>
        <w:t>f chlorine attached to biphenyl</w:t>
      </w:r>
      <w:r w:rsidRPr="00AF3618">
        <w:rPr>
          <w:rFonts w:asciiTheme="minorHAnsi" w:hAnsiTheme="minorHAnsi"/>
        </w:rPr>
        <w:t>.</w:t>
      </w:r>
      <w:r w:rsidR="00AF3618" w:rsidRPr="00AF3618">
        <w:rPr>
          <w:rFonts w:asciiTheme="minorHAnsi" w:hAnsiTheme="minorHAnsi"/>
        </w:rPr>
        <w:t xml:space="preserve">  </w:t>
      </w:r>
      <w:r w:rsidR="00AF3618">
        <w:rPr>
          <w:rFonts w:asciiTheme="minorHAnsi" w:hAnsiTheme="minorHAnsi"/>
        </w:rPr>
        <w:t>PCBs w</w:t>
      </w:r>
      <w:r w:rsidR="00AF3618" w:rsidRPr="00AF3618">
        <w:rPr>
          <w:rFonts w:asciiTheme="minorHAnsi" w:hAnsiTheme="minorHAnsi"/>
        </w:rPr>
        <w:t>ere widely used as dielectric and coolant fluids in electrical apparatus, cutting fluids for machining operations, carbonless copy paper and in heat transfer fluids. Due to PCBs' environmental toxicity and classification as a persistent organic pollutant, PCB production was banned by the United States in 1979</w:t>
      </w:r>
      <w:r w:rsidR="00AF3618">
        <w:rPr>
          <w:rFonts w:asciiTheme="minorHAnsi" w:hAnsiTheme="minorHAnsi"/>
        </w:rPr>
        <w:t>.</w:t>
      </w:r>
    </w:p>
    <w:p w:rsidR="00022D17" w:rsidRDefault="00022D17" w:rsidP="00DC72CF">
      <w:pPr>
        <w:spacing w:after="0"/>
        <w:rPr>
          <w:rFonts w:asciiTheme="minorHAnsi" w:hAnsiTheme="minorHAnsi"/>
        </w:rPr>
      </w:pPr>
    </w:p>
    <w:p w:rsidR="00125BF1" w:rsidRDefault="00125BF1" w:rsidP="00950307">
      <w:pPr>
        <w:spacing w:after="0"/>
        <w:rPr>
          <w:rFonts w:asciiTheme="minorHAnsi" w:hAnsiTheme="minorHAnsi"/>
        </w:rPr>
      </w:pPr>
      <w:r w:rsidRPr="00125BF1">
        <w:rPr>
          <w:rFonts w:asciiTheme="minorHAnsi" w:hAnsiTheme="minorHAnsi"/>
          <w:b/>
        </w:rPr>
        <w:t>Practical Quantification Limit (PQL)</w:t>
      </w:r>
      <w:r>
        <w:rPr>
          <w:rFonts w:asciiTheme="minorHAnsi" w:hAnsiTheme="minorHAnsi"/>
        </w:rPr>
        <w:t xml:space="preserve"> - </w:t>
      </w:r>
      <w:r w:rsidR="00950307">
        <w:rPr>
          <w:rFonts w:asciiTheme="minorHAnsi" w:hAnsiTheme="minorHAnsi"/>
        </w:rPr>
        <w:t>t</w:t>
      </w:r>
      <w:r w:rsidR="00950307" w:rsidRPr="00950307">
        <w:rPr>
          <w:rFonts w:asciiTheme="minorHAnsi" w:hAnsiTheme="minorHAnsi"/>
        </w:rPr>
        <w:t>he lowest concentration measurement that can be reliably achieved within the</w:t>
      </w:r>
      <w:r w:rsidR="00950307">
        <w:rPr>
          <w:rFonts w:asciiTheme="minorHAnsi" w:hAnsiTheme="minorHAnsi"/>
        </w:rPr>
        <w:t xml:space="preserve"> </w:t>
      </w:r>
      <w:r w:rsidR="00950307" w:rsidRPr="00950307">
        <w:rPr>
          <w:rFonts w:asciiTheme="minorHAnsi" w:hAnsiTheme="minorHAnsi"/>
        </w:rPr>
        <w:t>specified limits of precision and accuracy during routine laboratory operating conditions.</w:t>
      </w:r>
      <w:r w:rsidR="00950307">
        <w:rPr>
          <w:rFonts w:asciiTheme="minorHAnsi" w:hAnsiTheme="minorHAnsi"/>
        </w:rPr>
        <w:t xml:space="preserve">  </w:t>
      </w:r>
      <w:r w:rsidR="00950307" w:rsidRPr="00950307">
        <w:rPr>
          <w:rFonts w:asciiTheme="minorHAnsi" w:hAnsiTheme="minorHAnsi"/>
        </w:rPr>
        <w:t xml:space="preserve"> </w:t>
      </w:r>
    </w:p>
    <w:p w:rsidR="00125BF1" w:rsidRDefault="00125BF1" w:rsidP="00DC72CF">
      <w:pPr>
        <w:spacing w:after="0"/>
        <w:rPr>
          <w:rFonts w:asciiTheme="minorHAnsi" w:hAnsiTheme="minorHAnsi"/>
        </w:rPr>
      </w:pPr>
    </w:p>
    <w:p w:rsidR="004728DA" w:rsidRDefault="004728DA" w:rsidP="00DC72CF">
      <w:pPr>
        <w:spacing w:after="0"/>
        <w:rPr>
          <w:rFonts w:asciiTheme="minorHAnsi" w:hAnsiTheme="minorHAnsi"/>
        </w:rPr>
      </w:pPr>
      <w:r w:rsidRPr="004728DA">
        <w:rPr>
          <w:rFonts w:asciiTheme="minorHAnsi" w:hAnsiTheme="minorHAnsi"/>
          <w:b/>
        </w:rPr>
        <w:t>Quality Assurance Project Plan</w:t>
      </w:r>
      <w:r w:rsidR="00125BF1">
        <w:rPr>
          <w:rFonts w:asciiTheme="minorHAnsi" w:hAnsiTheme="minorHAnsi"/>
          <w:b/>
        </w:rPr>
        <w:t xml:space="preserve"> (</w:t>
      </w:r>
      <w:r w:rsidR="00125BF1" w:rsidRPr="004728DA">
        <w:rPr>
          <w:rFonts w:asciiTheme="minorHAnsi" w:hAnsiTheme="minorHAnsi"/>
          <w:b/>
        </w:rPr>
        <w:t>QAPP</w:t>
      </w:r>
      <w:r w:rsidRPr="004728DA">
        <w:rPr>
          <w:rFonts w:asciiTheme="minorHAnsi" w:hAnsiTheme="minorHAnsi"/>
          <w:b/>
        </w:rPr>
        <w:t>)</w:t>
      </w:r>
      <w:r>
        <w:rPr>
          <w:rFonts w:asciiTheme="minorHAnsi" w:hAnsiTheme="minorHAnsi"/>
        </w:rPr>
        <w:t xml:space="preserve"> – a document that establishes the guideline for sampling and analysis to ensure data quality and consistency in interpretation of the data.</w:t>
      </w:r>
    </w:p>
    <w:p w:rsidR="004728DA" w:rsidRDefault="004728DA" w:rsidP="00DC72CF">
      <w:pPr>
        <w:spacing w:after="0"/>
        <w:rPr>
          <w:rFonts w:asciiTheme="minorHAnsi" w:hAnsiTheme="minorHAnsi"/>
        </w:rPr>
      </w:pPr>
    </w:p>
    <w:p w:rsidR="00022D17" w:rsidRDefault="00022D17" w:rsidP="00DC72CF">
      <w:pPr>
        <w:spacing w:after="0"/>
        <w:rPr>
          <w:rFonts w:asciiTheme="minorHAnsi" w:hAnsiTheme="minorHAnsi"/>
          <w:b/>
        </w:rPr>
      </w:pPr>
      <w:r w:rsidRPr="006366CC">
        <w:rPr>
          <w:rFonts w:asciiTheme="minorHAnsi" w:hAnsiTheme="minorHAnsi"/>
          <w:b/>
        </w:rPr>
        <w:t xml:space="preserve">Surfactant </w:t>
      </w:r>
      <w:r>
        <w:rPr>
          <w:rFonts w:asciiTheme="minorHAnsi" w:hAnsiTheme="minorHAnsi"/>
        </w:rPr>
        <w:t xml:space="preserve">- </w:t>
      </w:r>
      <w:r w:rsidR="006366CC" w:rsidRPr="006366CC">
        <w:rPr>
          <w:rFonts w:asciiTheme="minorHAnsi" w:hAnsiTheme="minorHAnsi"/>
        </w:rPr>
        <w:t>addit</w:t>
      </w:r>
      <w:r w:rsidR="006366CC">
        <w:rPr>
          <w:rFonts w:asciiTheme="minorHAnsi" w:hAnsiTheme="minorHAnsi"/>
        </w:rPr>
        <w:t xml:space="preserve">ive in some </w:t>
      </w:r>
      <w:r w:rsidR="002A5194">
        <w:rPr>
          <w:rFonts w:asciiTheme="minorHAnsi" w:hAnsiTheme="minorHAnsi"/>
        </w:rPr>
        <w:t>Hydroseed</w:t>
      </w:r>
      <w:r w:rsidR="006366CC">
        <w:rPr>
          <w:rFonts w:asciiTheme="minorHAnsi" w:hAnsiTheme="minorHAnsi"/>
        </w:rPr>
        <w:t xml:space="preserve"> to enhance moisture retention and reduce water repellency.</w:t>
      </w:r>
    </w:p>
    <w:p w:rsidR="00933688" w:rsidRDefault="00933688" w:rsidP="00DC72CF">
      <w:pPr>
        <w:spacing w:after="0"/>
        <w:rPr>
          <w:rFonts w:asciiTheme="minorHAnsi" w:hAnsiTheme="minorHAnsi"/>
          <w:b/>
        </w:rPr>
      </w:pPr>
    </w:p>
    <w:p w:rsidR="002A1029" w:rsidRPr="006B0054" w:rsidRDefault="002A1029" w:rsidP="00DC72CF">
      <w:pPr>
        <w:spacing w:after="0"/>
        <w:rPr>
          <w:rFonts w:asciiTheme="minorHAnsi" w:hAnsiTheme="minorHAnsi"/>
        </w:rPr>
      </w:pPr>
      <w:r w:rsidRPr="006B0054">
        <w:rPr>
          <w:rFonts w:asciiTheme="minorHAnsi" w:hAnsiTheme="minorHAnsi"/>
          <w:b/>
        </w:rPr>
        <w:t>Tackifier</w:t>
      </w:r>
      <w:r w:rsidRPr="006B0054">
        <w:rPr>
          <w:rFonts w:asciiTheme="minorHAnsi" w:hAnsiTheme="minorHAnsi"/>
        </w:rPr>
        <w:t xml:space="preserve"> - </w:t>
      </w:r>
      <w:r w:rsidR="006B0054">
        <w:rPr>
          <w:rFonts w:asciiTheme="minorHAnsi" w:hAnsiTheme="minorHAnsi"/>
        </w:rPr>
        <w:t>additive</w:t>
      </w:r>
      <w:r w:rsidRPr="006B0054">
        <w:rPr>
          <w:rFonts w:asciiTheme="minorHAnsi" w:hAnsiTheme="minorHAnsi"/>
        </w:rPr>
        <w:t xml:space="preserve"> in </w:t>
      </w:r>
      <w:r w:rsidR="006B0054">
        <w:rPr>
          <w:rFonts w:asciiTheme="minorHAnsi" w:hAnsiTheme="minorHAnsi"/>
        </w:rPr>
        <w:t xml:space="preserve">some </w:t>
      </w:r>
      <w:r w:rsidR="002A5194">
        <w:rPr>
          <w:rFonts w:asciiTheme="minorHAnsi" w:hAnsiTheme="minorHAnsi"/>
        </w:rPr>
        <w:t>Hydroseed</w:t>
      </w:r>
      <w:r w:rsidRPr="006B0054">
        <w:rPr>
          <w:rFonts w:asciiTheme="minorHAnsi" w:hAnsiTheme="minorHAnsi"/>
        </w:rPr>
        <w:t xml:space="preserve"> </w:t>
      </w:r>
      <w:r w:rsidR="006B0054" w:rsidRPr="006B0054">
        <w:rPr>
          <w:rFonts w:asciiTheme="minorHAnsi" w:hAnsiTheme="minorHAnsi"/>
        </w:rPr>
        <w:t>to</w:t>
      </w:r>
      <w:r w:rsidRPr="006B0054">
        <w:rPr>
          <w:rFonts w:asciiTheme="minorHAnsi" w:hAnsiTheme="minorHAnsi"/>
        </w:rPr>
        <w:t xml:space="preserve"> </w:t>
      </w:r>
      <w:r w:rsidR="006B0054" w:rsidRPr="006B0054">
        <w:rPr>
          <w:rFonts w:asciiTheme="minorHAnsi" w:hAnsiTheme="minorHAnsi"/>
        </w:rPr>
        <w:t>enhance the chemical bond within the mulch matrix</w:t>
      </w:r>
      <w:r w:rsidR="007F6EAB" w:rsidRPr="007F6EAB">
        <w:rPr>
          <w:rFonts w:asciiTheme="minorHAnsi" w:hAnsiTheme="minorHAnsi"/>
        </w:rPr>
        <w:t xml:space="preserve"> </w:t>
      </w:r>
      <w:r w:rsidR="007F6EAB" w:rsidRPr="006B0054">
        <w:rPr>
          <w:rFonts w:asciiTheme="minorHAnsi" w:hAnsiTheme="minorHAnsi"/>
        </w:rPr>
        <w:t>to help hold and protect seed</w:t>
      </w:r>
      <w:r w:rsidR="007F6EAB">
        <w:rPr>
          <w:rFonts w:asciiTheme="minorHAnsi" w:hAnsiTheme="minorHAnsi"/>
        </w:rPr>
        <w:t xml:space="preserve"> and for better moisture retention</w:t>
      </w:r>
      <w:r w:rsidR="006B0054">
        <w:rPr>
          <w:rFonts w:asciiTheme="minorHAnsi" w:hAnsiTheme="minorHAnsi"/>
        </w:rPr>
        <w:t xml:space="preserve">.  </w:t>
      </w:r>
      <w:r w:rsidR="007F6EAB">
        <w:rPr>
          <w:rFonts w:asciiTheme="minorHAnsi" w:hAnsiTheme="minorHAnsi"/>
        </w:rPr>
        <w:t>Use</w:t>
      </w:r>
      <w:r w:rsidR="006366CC">
        <w:rPr>
          <w:rFonts w:asciiTheme="minorHAnsi" w:hAnsiTheme="minorHAnsi"/>
        </w:rPr>
        <w:t>d</w:t>
      </w:r>
      <w:r w:rsidR="007F6EAB">
        <w:rPr>
          <w:rFonts w:asciiTheme="minorHAnsi" w:hAnsiTheme="minorHAnsi"/>
        </w:rPr>
        <w:t xml:space="preserve"> to reduce </w:t>
      </w:r>
      <w:r w:rsidR="006B0054" w:rsidRPr="006B0054">
        <w:rPr>
          <w:rFonts w:asciiTheme="minorHAnsi" w:hAnsiTheme="minorHAnsi"/>
        </w:rPr>
        <w:t xml:space="preserve">erosion </w:t>
      </w:r>
      <w:r w:rsidR="007F6EAB">
        <w:rPr>
          <w:rFonts w:asciiTheme="minorHAnsi" w:hAnsiTheme="minorHAnsi"/>
        </w:rPr>
        <w:t xml:space="preserve">on difficult </w:t>
      </w:r>
      <w:r w:rsidR="007F6EAB" w:rsidRPr="007F6EAB">
        <w:rPr>
          <w:rFonts w:asciiTheme="minorHAnsi" w:hAnsiTheme="minorHAnsi"/>
        </w:rPr>
        <w:t xml:space="preserve">slopes, </w:t>
      </w:r>
      <w:r w:rsidR="007F6EAB">
        <w:rPr>
          <w:rFonts w:asciiTheme="minorHAnsi" w:hAnsiTheme="minorHAnsi"/>
        </w:rPr>
        <w:t xml:space="preserve">challenging </w:t>
      </w:r>
      <w:r w:rsidR="007F6EAB" w:rsidRPr="007F6EAB">
        <w:rPr>
          <w:rFonts w:asciiTheme="minorHAnsi" w:hAnsiTheme="minorHAnsi"/>
        </w:rPr>
        <w:t>soil conditions</w:t>
      </w:r>
      <w:r w:rsidR="007F6EAB">
        <w:rPr>
          <w:rFonts w:asciiTheme="minorHAnsi" w:hAnsiTheme="minorHAnsi"/>
        </w:rPr>
        <w:t>,</w:t>
      </w:r>
      <w:r w:rsidR="007F6EAB" w:rsidRPr="007F6EAB">
        <w:rPr>
          <w:rFonts w:asciiTheme="minorHAnsi" w:hAnsiTheme="minorHAnsi"/>
        </w:rPr>
        <w:t xml:space="preserve"> </w:t>
      </w:r>
      <w:r w:rsidR="007F6EAB">
        <w:rPr>
          <w:rFonts w:asciiTheme="minorHAnsi" w:hAnsiTheme="minorHAnsi"/>
        </w:rPr>
        <w:t xml:space="preserve">high </w:t>
      </w:r>
      <w:r w:rsidR="00764655">
        <w:rPr>
          <w:rFonts w:asciiTheme="minorHAnsi" w:hAnsiTheme="minorHAnsi"/>
        </w:rPr>
        <w:t>surface winds or</w:t>
      </w:r>
      <w:r w:rsidR="006B0054" w:rsidRPr="006B0054">
        <w:rPr>
          <w:rFonts w:asciiTheme="minorHAnsi" w:hAnsiTheme="minorHAnsi"/>
        </w:rPr>
        <w:t xml:space="preserve"> heavy weather </w:t>
      </w:r>
      <w:r w:rsidR="007F6EAB">
        <w:rPr>
          <w:rFonts w:asciiTheme="minorHAnsi" w:hAnsiTheme="minorHAnsi"/>
        </w:rPr>
        <w:t>conditions.</w:t>
      </w:r>
    </w:p>
    <w:p w:rsidR="002A1029" w:rsidRDefault="002A1029" w:rsidP="00DC72CF">
      <w:pPr>
        <w:spacing w:after="0"/>
      </w:pPr>
    </w:p>
    <w:p w:rsidR="001B01EA" w:rsidRDefault="007906FD" w:rsidP="001B01EA">
      <w:pPr>
        <w:spacing w:after="0"/>
      </w:pPr>
      <w:r w:rsidRPr="00AC5748">
        <w:rPr>
          <w:b/>
        </w:rPr>
        <w:t>Total PCBs</w:t>
      </w:r>
      <w:r w:rsidR="001B01EA">
        <w:t xml:space="preserve"> – are the sum total of all valid 209 congeners reported from the laboratory data.  How the data is interpreted and totalized may vary based on blanked corrected data, use of non- detect values, method detection limits and other parameter considerations.  See the referenced </w:t>
      </w:r>
      <w:r w:rsidR="00AC5748">
        <w:t>QAPPs for methods used in Total PCB analysis for this study.</w:t>
      </w:r>
    </w:p>
    <w:p w:rsidR="008A58C8" w:rsidRDefault="00D11B22" w:rsidP="00DC72CF">
      <w:pPr>
        <w:spacing w:after="0"/>
        <w:rPr>
          <w:rFonts w:ascii="Times New Roman" w:hAnsi="Times New Roman"/>
          <w:b/>
        </w:rPr>
      </w:pPr>
      <w:r w:rsidRPr="008A58C8">
        <w:rPr>
          <w:rStyle w:val="Heading1Char"/>
          <w:rFonts w:eastAsia="Calibri"/>
        </w:rPr>
        <w:lastRenderedPageBreak/>
        <w:t>Background</w:t>
      </w:r>
    </w:p>
    <w:p w:rsidR="003072AD" w:rsidRPr="00C853E2" w:rsidRDefault="008A58C8" w:rsidP="00FB1718">
      <w:r w:rsidRPr="008A58C8">
        <w:t>T</w:t>
      </w:r>
      <w:r w:rsidR="003072AD" w:rsidRPr="00C853E2">
        <w:t>he purpose of the Spokane River Regional Toxics Task Force (SRRTTF</w:t>
      </w:r>
      <w:r w:rsidR="00933688">
        <w:t xml:space="preserve">, see </w:t>
      </w:r>
      <w:hyperlink r:id="rId10" w:history="1">
        <w:r w:rsidR="00933688" w:rsidRPr="00787C01">
          <w:rPr>
            <w:rStyle w:val="Hyperlink"/>
          </w:rPr>
          <w:t>http://srrttf.org/</w:t>
        </w:r>
      </w:hyperlink>
      <w:r w:rsidR="003072AD" w:rsidRPr="00C853E2">
        <w:t>) is to “work collaboratively to characterize the sources of toxics in the Spokane River and identify and implement appropriate actions needed to make measurable progress towards meeting applicable water quality standards for the State</w:t>
      </w:r>
      <w:r w:rsidR="00221E6B" w:rsidRPr="00C853E2">
        <w:t xml:space="preserve"> of Washington, State of Idaho, and </w:t>
      </w:r>
      <w:r w:rsidR="003072AD" w:rsidRPr="00C853E2">
        <w:t>the Spokane Tribe of Indians and in the interests of public and environmental health.”</w:t>
      </w:r>
    </w:p>
    <w:p w:rsidR="003072AD" w:rsidRPr="00C853E2" w:rsidRDefault="003072AD" w:rsidP="00FB1718">
      <w:r w:rsidRPr="00C853E2">
        <w:t>In addition, t</w:t>
      </w:r>
      <w:r w:rsidR="00A27023" w:rsidRPr="00C853E2">
        <w:t>he 2014 legislature adopted</w:t>
      </w:r>
      <w:r w:rsidR="00D471B0" w:rsidRPr="00C853E2">
        <w:t xml:space="preserve"> Senate B</w:t>
      </w:r>
      <w:r w:rsidR="00642DCF" w:rsidRPr="00C853E2">
        <w:t xml:space="preserve">ill </w:t>
      </w:r>
      <w:r w:rsidR="00D471B0" w:rsidRPr="00C853E2">
        <w:t xml:space="preserve">6086 </w:t>
      </w:r>
      <w:r w:rsidR="00642DCF" w:rsidRPr="00C853E2">
        <w:t xml:space="preserve">that requires State agencies to establish a purchasing and procurement policy that provides a preference for products that do not contain </w:t>
      </w:r>
      <w:r w:rsidR="0052364B">
        <w:t>PCBs</w:t>
      </w:r>
      <w:r w:rsidR="00D471B0" w:rsidRPr="00C853E2">
        <w:t xml:space="preserve"> </w:t>
      </w:r>
      <w:r w:rsidR="00642DCF" w:rsidRPr="00C853E2">
        <w:t>(</w:t>
      </w:r>
      <w:hyperlink r:id="rId11" w:history="1">
        <w:r w:rsidR="00D471B0" w:rsidRPr="00C853E2">
          <w:rPr>
            <w:rStyle w:val="Hyperlink"/>
            <w:rFonts w:ascii="Times New Roman" w:hAnsi="Times New Roman"/>
          </w:rPr>
          <w:t>http://apps.leg.wa.gov/billinfo/summary.aspx?bill=6086&amp;year=2013</w:t>
        </w:r>
      </w:hyperlink>
      <w:r w:rsidR="00D471B0" w:rsidRPr="00C853E2">
        <w:t>).  Spokane County and the City of Spokane adopted similar ordinances in response to concerns with PCB impairment of the Spokane River (</w:t>
      </w:r>
      <w:hyperlink r:id="rId12" w:history="1">
        <w:r w:rsidR="00AC13D6" w:rsidRPr="00C853E2">
          <w:rPr>
            <w:rStyle w:val="Hyperlink"/>
            <w:rFonts w:ascii="Times New Roman" w:hAnsi="Times New Roman"/>
          </w:rPr>
          <w:t>https://my.spokanecity.org/smc/?Section=07.06.172</w:t>
        </w:r>
      </w:hyperlink>
      <w:r w:rsidR="00AC13D6" w:rsidRPr="00C853E2">
        <w:t xml:space="preserve">). </w:t>
      </w:r>
      <w:r w:rsidRPr="00C853E2">
        <w:t xml:space="preserve">The City of Spokane’s ordinance requires City departments to purchase PCB-free items (defined as less than the practical quantification limit using EPA Method 1668) if a feasible alternative is available at less than a 25% cost increase.  To implement the ordinance, the City is gathering more information about products known to contain PCBs.  In 2014, the City sampled Nature’s Own </w:t>
      </w:r>
      <w:r w:rsidR="002A5194">
        <w:t>Hydroseed</w:t>
      </w:r>
      <w:r w:rsidRPr="00C853E2">
        <w:t xml:space="preserve"> manufactured by Hamilton Manufacturing, Inc. and discovered </w:t>
      </w:r>
      <w:r w:rsidR="00B556FB">
        <w:t>concentrations</w:t>
      </w:r>
      <w:r w:rsidRPr="00C853E2">
        <w:t xml:space="preserve"> of </w:t>
      </w:r>
      <w:r w:rsidR="000258E2">
        <w:t xml:space="preserve">Total </w:t>
      </w:r>
      <w:r w:rsidR="0052364B">
        <w:t>PCBs</w:t>
      </w:r>
      <w:r w:rsidRPr="00C853E2">
        <w:t xml:space="preserve"> exceeding 2,500 parts per billion (ppb).  </w:t>
      </w:r>
      <w:r w:rsidR="007240FC">
        <w:t xml:space="preserve">In comparison, the current water quality standard for the State of Washington is 170 parts per quadrillion (ppq), equal to 0.000170 ppb.  </w:t>
      </w:r>
    </w:p>
    <w:p w:rsidR="003B0CBF" w:rsidRPr="00C853E2" w:rsidRDefault="00DC72CF" w:rsidP="00FB1718">
      <w:r w:rsidRPr="00DC72CF">
        <w:rPr>
          <w:bCs/>
        </w:rPr>
        <w:t xml:space="preserve">The Washington State Department of Transportation (WSDOT) </w:t>
      </w:r>
      <w:hyperlink r:id="rId13" w:history="1">
        <w:r w:rsidR="00CC5BA1" w:rsidRPr="00EB0DD6">
          <w:rPr>
            <w:rStyle w:val="Hyperlink"/>
          </w:rPr>
          <w:t>Qualified Products List (QPL)</w:t>
        </w:r>
      </w:hyperlink>
      <w:r w:rsidR="00CC5BA1">
        <w:t xml:space="preserve"> w</w:t>
      </w:r>
      <w:r w:rsidR="00171E78">
        <w:t>as referenced in order to seek out</w:t>
      </w:r>
      <w:r w:rsidR="00CC5BA1">
        <w:t xml:space="preserve"> </w:t>
      </w:r>
      <w:r w:rsidRPr="00DC72CF">
        <w:t>Hydraulically Applied E</w:t>
      </w:r>
      <w:r>
        <w:t>rosion Control Product (HECP)</w:t>
      </w:r>
      <w:r w:rsidR="00171E78">
        <w:t xml:space="preserve"> manufacturers active in the Washington State market</w:t>
      </w:r>
      <w:r w:rsidR="00CC5BA1">
        <w:t>.</w:t>
      </w:r>
      <w:r w:rsidRPr="00DC72CF">
        <w:t xml:space="preserve">  </w:t>
      </w:r>
      <w:r w:rsidR="003B0CBF" w:rsidRPr="00C853E2">
        <w:t>The City of Spokane uses the WSDOT Spec</w:t>
      </w:r>
      <w:r>
        <w:t>ification</w:t>
      </w:r>
      <w:r w:rsidR="003B0CBF" w:rsidRPr="00C853E2">
        <w:t xml:space="preserve"> Book </w:t>
      </w:r>
      <w:r w:rsidR="00EB0DD6">
        <w:t>supplemented with</w:t>
      </w:r>
      <w:r w:rsidR="001D4A1B">
        <w:t xml:space="preserve"> </w:t>
      </w:r>
      <w:r w:rsidR="003B0CBF" w:rsidRPr="00C853E2">
        <w:t>General Special Provisions</w:t>
      </w:r>
      <w:r w:rsidR="00EB0DD6">
        <w:t>.</w:t>
      </w:r>
      <w:r w:rsidR="003B0CBF" w:rsidRPr="00C853E2">
        <w:t xml:space="preserve"> </w:t>
      </w:r>
      <w:r>
        <w:t>(</w:t>
      </w:r>
      <w:hyperlink r:id="rId14" w:tgtFrame="_blank" w:history="1">
        <w:r w:rsidR="003B0CBF" w:rsidRPr="00C853E2">
          <w:rPr>
            <w:rStyle w:val="Hyperlink"/>
            <w:rFonts w:ascii="Times New Roman" w:hAnsi="Times New Roman"/>
          </w:rPr>
          <w:t>https://static.spokanecity.org/documents/business/designstandards/general-special-provisions.pdf</w:t>
        </w:r>
      </w:hyperlink>
      <w:r w:rsidR="001D4A1B">
        <w:t xml:space="preserve">).  Unlike the WSDOT, the City currently </w:t>
      </w:r>
      <w:r w:rsidR="001D4A1B" w:rsidRPr="001D4A1B">
        <w:t>do</w:t>
      </w:r>
      <w:r w:rsidR="001D4A1B">
        <w:t>es</w:t>
      </w:r>
      <w:r w:rsidR="001D4A1B" w:rsidRPr="001D4A1B">
        <w:t xml:space="preserve"> not have an appro</w:t>
      </w:r>
      <w:r w:rsidR="001D4A1B">
        <w:t xml:space="preserve">ved supplier list for </w:t>
      </w:r>
      <w:r w:rsidR="002A5194">
        <w:t>Hydroseed</w:t>
      </w:r>
      <w:r w:rsidR="001D4A1B">
        <w:t xml:space="preserve"> or HECP.</w:t>
      </w:r>
      <w:r w:rsidR="001D4A1B" w:rsidRPr="001D4A1B">
        <w:t xml:space="preserve">  </w:t>
      </w:r>
      <w:r w:rsidR="0052364B" w:rsidRPr="0052364B">
        <w:t>The City uses WSDOT policies and procedures for State and Federal funded projects.  After contracts go out to bid for City funded projects</w:t>
      </w:r>
      <w:r w:rsidR="001D4A1B" w:rsidRPr="001D4A1B">
        <w:t xml:space="preserve">, the contractor can select anyone they like who meets the project requirements.    </w:t>
      </w:r>
    </w:p>
    <w:p w:rsidR="00527979" w:rsidRDefault="003072AD" w:rsidP="00FB1718">
      <w:r w:rsidRPr="00C853E2">
        <w:t xml:space="preserve">The SRRTTF Advisory Committee </w:t>
      </w:r>
      <w:r w:rsidR="00CE10FC" w:rsidRPr="00C853E2">
        <w:t>approved the</w:t>
      </w:r>
      <w:r w:rsidRPr="00C853E2">
        <w:t xml:space="preserve"> </w:t>
      </w:r>
      <w:r w:rsidR="002A5194">
        <w:t>Hydroseed</w:t>
      </w:r>
      <w:r w:rsidRPr="00C853E2">
        <w:t xml:space="preserve"> Analysis and Reformulation PCB Removal Pilot Project during the February, 2015 meeting.  </w:t>
      </w:r>
      <w:r w:rsidR="00527979">
        <w:t>This report summarizes findings from the laboratory analysis.  Results from this analysis can be used</w:t>
      </w:r>
      <w:r w:rsidRPr="00C853E2">
        <w:t xml:space="preserve"> to assist manufacturers of </w:t>
      </w:r>
      <w:r w:rsidR="002A5194">
        <w:t>Hydroseed</w:t>
      </w:r>
      <w:r w:rsidRPr="00C853E2">
        <w:t xml:space="preserve"> to develop specifications/reformulations with reduced levels of </w:t>
      </w:r>
      <w:r w:rsidR="0052364B">
        <w:t>PCBs</w:t>
      </w:r>
      <w:r w:rsidRPr="00C853E2">
        <w:t xml:space="preserve">. </w:t>
      </w:r>
      <w:r w:rsidR="00527979">
        <w:t xml:space="preserve">   </w:t>
      </w:r>
    </w:p>
    <w:p w:rsidR="003072AD" w:rsidRPr="00C853E2" w:rsidRDefault="00CE10FC" w:rsidP="00527979">
      <w:pPr>
        <w:pStyle w:val="Heading1"/>
      </w:pPr>
      <w:r w:rsidRPr="00C853E2">
        <w:t>Project Description</w:t>
      </w:r>
    </w:p>
    <w:p w:rsidR="00CE10FC" w:rsidRPr="00C853E2" w:rsidRDefault="00FC7E67" w:rsidP="00AB1583">
      <w:r w:rsidRPr="00153784">
        <w:t>HMI Hamilton Manufacturing, Inc., Rainier</w:t>
      </w:r>
      <w:r>
        <w:t>,</w:t>
      </w:r>
      <w:r w:rsidRPr="00FC7E67">
        <w:t xml:space="preserve"> </w:t>
      </w:r>
      <w:r w:rsidRPr="00153784">
        <w:t>Te</w:t>
      </w:r>
      <w:r>
        <w:t>nsar International Corporation</w:t>
      </w:r>
      <w:r w:rsidRPr="00153784">
        <w:t xml:space="preserve"> </w:t>
      </w:r>
      <w:r>
        <w:t>and Terra Novo</w:t>
      </w:r>
      <w:r w:rsidR="00CC5BA1">
        <w:t xml:space="preserve"> voluntarily</w:t>
      </w:r>
      <w:r>
        <w:t xml:space="preserve"> </w:t>
      </w:r>
      <w:r w:rsidR="00CE10FC" w:rsidRPr="00C853E2">
        <w:t>participate</w:t>
      </w:r>
      <w:r w:rsidR="004D541B">
        <w:t>d</w:t>
      </w:r>
      <w:r w:rsidR="00CE10FC" w:rsidRPr="00C853E2">
        <w:t xml:space="preserve"> in this pilot project to examine the specific components that may be contributing</w:t>
      </w:r>
      <w:r w:rsidR="000F3023" w:rsidRPr="00C853E2">
        <w:t xml:space="preserve"> to</w:t>
      </w:r>
      <w:r w:rsidR="00CE10FC" w:rsidRPr="00C853E2">
        <w:t xml:space="preserve"> </w:t>
      </w:r>
      <w:r w:rsidR="0052364B">
        <w:t>PCBs</w:t>
      </w:r>
      <w:r w:rsidR="00CE10FC" w:rsidRPr="00C853E2">
        <w:t xml:space="preserve"> </w:t>
      </w:r>
      <w:r w:rsidR="000F3023" w:rsidRPr="00C853E2">
        <w:t>in</w:t>
      </w:r>
      <w:r w:rsidR="00CE10FC" w:rsidRPr="00C853E2">
        <w:t xml:space="preserve"> their end product.  </w:t>
      </w:r>
      <w:r>
        <w:t xml:space="preserve">The study focused on these suppliers </w:t>
      </w:r>
      <w:r w:rsidR="00CC5BA1">
        <w:t xml:space="preserve">with </w:t>
      </w:r>
      <w:r w:rsidR="00650568">
        <w:t>consistent</w:t>
      </w:r>
      <w:r>
        <w:t xml:space="preserve"> distri</w:t>
      </w:r>
      <w:r w:rsidR="004D541B">
        <w:t>bution</w:t>
      </w:r>
      <w:r w:rsidR="00650568">
        <w:t xml:space="preserve"> and installation</w:t>
      </w:r>
      <w:r w:rsidR="004D541B">
        <w:t xml:space="preserve"> of their products in Washington</w:t>
      </w:r>
      <w:r>
        <w:t xml:space="preserve"> State.  </w:t>
      </w:r>
      <w:r w:rsidR="00CE10FC" w:rsidRPr="00C853E2">
        <w:t xml:space="preserve">  </w:t>
      </w:r>
    </w:p>
    <w:p w:rsidR="00381136" w:rsidRDefault="00381136" w:rsidP="00AB1583">
      <w:r>
        <w:t xml:space="preserve">The </w:t>
      </w:r>
      <w:r w:rsidR="00FC7E67">
        <w:t>four</w:t>
      </w:r>
      <w:r>
        <w:t xml:space="preserve"> suppliers that </w:t>
      </w:r>
      <w:r w:rsidR="00650568">
        <w:t>volunteered</w:t>
      </w:r>
      <w:r>
        <w:t xml:space="preserve"> to participate in this study have differing base materials and components used in the manufacture of their final product.  In general, the </w:t>
      </w:r>
      <w:r w:rsidR="002A5194">
        <w:t>Hydroseed</w:t>
      </w:r>
      <w:r>
        <w:t xml:space="preserve"> products are comprised of a base material</w:t>
      </w:r>
      <w:r w:rsidR="00132988">
        <w:t xml:space="preserve">, dye, surfactant and tackifier or some combination of the above.  </w:t>
      </w:r>
      <w:r>
        <w:t xml:space="preserve">The analysis of these </w:t>
      </w:r>
      <w:r w:rsidR="00FC7E67">
        <w:t>four</w:t>
      </w:r>
      <w:r>
        <w:t xml:space="preserve"> suppliers provide</w:t>
      </w:r>
      <w:r w:rsidR="004D541B">
        <w:t>s</w:t>
      </w:r>
      <w:r>
        <w:t xml:space="preserve"> a good cross section of the differing materials and components of </w:t>
      </w:r>
      <w:r w:rsidR="002A5194">
        <w:t>Hydroseed</w:t>
      </w:r>
      <w:r>
        <w:t xml:space="preserve"> products that are distributed throughout the State.   </w:t>
      </w:r>
    </w:p>
    <w:p w:rsidR="00890286" w:rsidRDefault="00D101CD" w:rsidP="00AB1583">
      <w:r w:rsidRPr="00C853E2">
        <w:t xml:space="preserve">Sampling and analysis </w:t>
      </w:r>
      <w:r w:rsidR="00890286">
        <w:t>was</w:t>
      </w:r>
      <w:r w:rsidRPr="00C853E2">
        <w:t xml:space="preserve"> performed in accordance with the QAPP used by the City of Spokane</w:t>
      </w:r>
      <w:r w:rsidR="003B53B3">
        <w:t>, supplemented with the PCB Product Sampling QAPP Addendum for Supplemental Product Sampling: SRRTTF</w:t>
      </w:r>
      <w:r w:rsidR="00850323">
        <w:t xml:space="preserve"> (Appendix A</w:t>
      </w:r>
      <w:r w:rsidRPr="00C853E2">
        <w:t xml:space="preserve">).  </w:t>
      </w:r>
      <w:r w:rsidR="003B53B3">
        <w:t xml:space="preserve">The QAPP addendum reflects the samples identified in this work plan.  </w:t>
      </w:r>
    </w:p>
    <w:p w:rsidR="002D3697" w:rsidRDefault="00D101CD" w:rsidP="00A445CB">
      <w:r w:rsidRPr="00C853E2">
        <w:t xml:space="preserve">AXYS Analytical Services </w:t>
      </w:r>
      <w:r w:rsidR="00890286">
        <w:t>was</w:t>
      </w:r>
      <w:r w:rsidRPr="00C853E2">
        <w:t xml:space="preserve"> used to perform the laboratory testing of the samples.  </w:t>
      </w:r>
      <w:r w:rsidR="00890286">
        <w:t>T</w:t>
      </w:r>
      <w:r w:rsidRPr="00C853E2">
        <w:t xml:space="preserve">esting </w:t>
      </w:r>
      <w:r w:rsidR="00890286">
        <w:t>was</w:t>
      </w:r>
      <w:r w:rsidRPr="00C853E2">
        <w:t xml:space="preserve"> performed using </w:t>
      </w:r>
      <w:r w:rsidR="008D0651" w:rsidRPr="008D0651">
        <w:t>A</w:t>
      </w:r>
      <w:r w:rsidR="008D0651">
        <w:t xml:space="preserve">XYS </w:t>
      </w:r>
      <w:r w:rsidR="008D0651" w:rsidRPr="008D0651">
        <w:t>in-house method MLA-007</w:t>
      </w:r>
      <w:r w:rsidR="00890286">
        <w:t xml:space="preserve"> for the quantitative determination by GC and low resolution MS/ECD detection of PCB congeners, total PCBs by congener group, </w:t>
      </w:r>
      <w:r w:rsidR="007E008C">
        <w:t xml:space="preserve">PCBs as Aroclor equivalents, </w:t>
      </w:r>
      <w:r w:rsidR="00890286">
        <w:t xml:space="preserve">and Total PCB by summing individual congeners.  Method MLA-007 has a higher detection limit than EPA 1668, which was used for </w:t>
      </w:r>
      <w:r w:rsidR="00A445CB">
        <w:t xml:space="preserve">the City’s </w:t>
      </w:r>
      <w:r w:rsidR="00890286">
        <w:t>previous sampling.  Because</w:t>
      </w:r>
      <w:r w:rsidR="00FC7E67" w:rsidRPr="00C853E2">
        <w:t xml:space="preserve"> the PCB c</w:t>
      </w:r>
      <w:r w:rsidR="00890286">
        <w:t>oncentrations</w:t>
      </w:r>
      <w:r w:rsidR="00FC7E67" w:rsidRPr="00C853E2">
        <w:t xml:space="preserve"> within the </w:t>
      </w:r>
      <w:r w:rsidR="000258E2">
        <w:t xml:space="preserve">City’s original </w:t>
      </w:r>
      <w:r w:rsidR="002A5194">
        <w:t>Hydroseed</w:t>
      </w:r>
      <w:r w:rsidR="00FC7E67" w:rsidRPr="00C853E2">
        <w:t xml:space="preserve"> </w:t>
      </w:r>
      <w:r w:rsidR="00890286">
        <w:t>sample were</w:t>
      </w:r>
      <w:r w:rsidR="00FC7E67" w:rsidRPr="00C853E2">
        <w:t xml:space="preserve"> relatively high</w:t>
      </w:r>
      <w:r w:rsidR="00890286">
        <w:t>, it was determined that th</w:t>
      </w:r>
      <w:r w:rsidR="000258E2">
        <w:t>e less s</w:t>
      </w:r>
      <w:r w:rsidR="00890286">
        <w:t xml:space="preserve">ensitive and </w:t>
      </w:r>
      <w:r w:rsidR="000258E2">
        <w:t xml:space="preserve">less </w:t>
      </w:r>
      <w:r w:rsidR="00890286">
        <w:t xml:space="preserve">expensive </w:t>
      </w:r>
      <w:r w:rsidR="000258E2">
        <w:t xml:space="preserve">MLA-007 </w:t>
      </w:r>
      <w:r w:rsidR="00890286">
        <w:t xml:space="preserve">method </w:t>
      </w:r>
      <w:r w:rsidR="000258E2">
        <w:t>should be sufficient</w:t>
      </w:r>
      <w:r w:rsidR="003913FC">
        <w:t xml:space="preserve"> as a screening method</w:t>
      </w:r>
      <w:r w:rsidR="000258E2">
        <w:t xml:space="preserve"> to identify any “bad actors” within the </w:t>
      </w:r>
      <w:r w:rsidR="002A5194">
        <w:t>Hydroseed</w:t>
      </w:r>
      <w:r w:rsidR="000258E2">
        <w:t xml:space="preserve"> matrix</w:t>
      </w:r>
      <w:r w:rsidR="00122B01" w:rsidRPr="00C853E2">
        <w:t xml:space="preserve">.  </w:t>
      </w:r>
      <w:r w:rsidR="00890286">
        <w:t>MLA-007 provide</w:t>
      </w:r>
      <w:r w:rsidR="00A445CB">
        <w:t xml:space="preserve">d </w:t>
      </w:r>
      <w:r w:rsidR="00122B01" w:rsidRPr="00C853E2">
        <w:t>a practical quantification limit (PQL) of 0.2 ppb</w:t>
      </w:r>
      <w:r w:rsidR="00A445CB">
        <w:t xml:space="preserve"> to about 31 ppb</w:t>
      </w:r>
      <w:r w:rsidR="001D4DAD" w:rsidRPr="00C853E2">
        <w:t>, well below the 2,500 ppb levels detected in the sample analyzed by the City</w:t>
      </w:r>
      <w:r w:rsidR="00122B01" w:rsidRPr="00C853E2">
        <w:t xml:space="preserve">. </w:t>
      </w:r>
      <w:r w:rsidR="002D3697">
        <w:t xml:space="preserve">  </w:t>
      </w:r>
    </w:p>
    <w:p w:rsidR="00D101CD" w:rsidRPr="00C853E2" w:rsidRDefault="002D3697" w:rsidP="00A445CB">
      <w:pPr>
        <w:rPr>
          <w:rFonts w:ascii="Times New Roman" w:hAnsi="Times New Roman"/>
        </w:rPr>
      </w:pPr>
      <w:r>
        <w:t xml:space="preserve">The purpose of this study was to confirm the elevated levels observed from the City’s original analysis and </w:t>
      </w:r>
      <w:r w:rsidR="000258E2">
        <w:t xml:space="preserve">to </w:t>
      </w:r>
      <w:r>
        <w:t xml:space="preserve">identify specific component(s) that may be contributing to these elevated levels.  </w:t>
      </w:r>
      <w:r w:rsidR="000258E2">
        <w:t>This study should be considered an i</w:t>
      </w:r>
      <w:r>
        <w:t xml:space="preserve">nitial </w:t>
      </w:r>
      <w:r w:rsidR="000258E2">
        <w:t xml:space="preserve">screening procedure of the various </w:t>
      </w:r>
      <w:r w:rsidR="002A5194">
        <w:t>Hydroseed</w:t>
      </w:r>
      <w:r w:rsidR="000258E2">
        <w:t xml:space="preserve"> matrices.  Additional testing may be needed to further substantiate any </w:t>
      </w:r>
      <w:r w:rsidR="00844150">
        <w:t xml:space="preserve">significant </w:t>
      </w:r>
      <w:r w:rsidR="000258E2">
        <w:t>results</w:t>
      </w:r>
      <w:r w:rsidR="006949E9">
        <w:t>.</w:t>
      </w:r>
      <w:r w:rsidR="000258E2">
        <w:t xml:space="preserve"> </w:t>
      </w:r>
    </w:p>
    <w:p w:rsidR="003072AD" w:rsidRPr="00153784" w:rsidRDefault="00537476" w:rsidP="00537476">
      <w:pPr>
        <w:pStyle w:val="Heading1"/>
        <w:rPr>
          <w:rFonts w:ascii="Times New Roman" w:hAnsi="Times New Roman"/>
          <w:color w:val="0D0D0D"/>
        </w:rPr>
      </w:pPr>
      <w:r>
        <w:t>Manufacturer Agreement</w:t>
      </w:r>
    </w:p>
    <w:p w:rsidR="003B0CBF" w:rsidRDefault="00132988" w:rsidP="00537476">
      <w:r w:rsidRPr="00153784">
        <w:t>HMI Hamilton Manufacturing, Inc., Rainier</w:t>
      </w:r>
      <w:r w:rsidR="00FC7E67">
        <w:t>,</w:t>
      </w:r>
      <w:r w:rsidR="00FC7E67" w:rsidRPr="00FC7E67">
        <w:t xml:space="preserve"> </w:t>
      </w:r>
      <w:r w:rsidR="00FC7E67" w:rsidRPr="00153784">
        <w:t>Te</w:t>
      </w:r>
      <w:r w:rsidR="00FC7E67">
        <w:t>nsar International Corporation</w:t>
      </w:r>
      <w:r w:rsidRPr="00153784">
        <w:t xml:space="preserve"> </w:t>
      </w:r>
      <w:r w:rsidR="009E65C6">
        <w:t xml:space="preserve">and Terra Novo </w:t>
      </w:r>
      <w:r w:rsidRPr="00153784">
        <w:t xml:space="preserve">have agreed to participate in this study on the basis that the results will be protected due to the proprietary nature of their various products and blends.  Therefore, the project </w:t>
      </w:r>
      <w:r w:rsidR="00537476">
        <w:t>was</w:t>
      </w:r>
      <w:r w:rsidRPr="00153784">
        <w:t xml:space="preserve"> executed in accordance with </w:t>
      </w:r>
      <w:r w:rsidR="00537476">
        <w:t>an</w:t>
      </w:r>
      <w:r w:rsidRPr="00153784">
        <w:t xml:space="preserve"> agreement</w:t>
      </w:r>
      <w:r w:rsidR="009F2FF4">
        <w:t xml:space="preserve"> with the suppliers</w:t>
      </w:r>
      <w:r w:rsidR="00537476">
        <w:t xml:space="preserve">, stipulating that the finish product component analyses remain anonymous.  </w:t>
      </w:r>
    </w:p>
    <w:p w:rsidR="00E15001" w:rsidRDefault="00E15001">
      <w:pPr>
        <w:spacing w:after="0" w:line="240" w:lineRule="auto"/>
        <w:rPr>
          <w:rFonts w:ascii="Cambria" w:eastAsia="Times New Roman" w:hAnsi="Cambria"/>
          <w:b/>
          <w:bCs/>
          <w:kern w:val="32"/>
          <w:sz w:val="32"/>
          <w:szCs w:val="32"/>
        </w:rPr>
      </w:pPr>
      <w:r>
        <w:br w:type="page"/>
      </w:r>
    </w:p>
    <w:p w:rsidR="00537476" w:rsidRDefault="00537476" w:rsidP="00537476">
      <w:pPr>
        <w:pStyle w:val="Heading1"/>
      </w:pPr>
      <w:r>
        <w:t>Results</w:t>
      </w:r>
    </w:p>
    <w:p w:rsidR="004C14E1" w:rsidRDefault="002F6BA8" w:rsidP="00E15001">
      <w:pPr>
        <w:rPr>
          <w:rStyle w:val="SubtleEmphasis"/>
        </w:rPr>
      </w:pPr>
      <w:r>
        <w:t xml:space="preserve">Total PCBs using Axys method MLA-007 for </w:t>
      </w:r>
      <w:r w:rsidR="00484F40">
        <w:t xml:space="preserve">each of the four </w:t>
      </w:r>
      <w:r w:rsidR="002A5194">
        <w:t>Hydroseed</w:t>
      </w:r>
      <w:r>
        <w:t xml:space="preserve"> brands and </w:t>
      </w:r>
      <w:r w:rsidR="00B61560">
        <w:t xml:space="preserve">associated </w:t>
      </w:r>
      <w:r>
        <w:t xml:space="preserve">components are shown in Table 1.  </w:t>
      </w:r>
      <w:r w:rsidR="00B61560">
        <w:t xml:space="preserve">Blank corrections were applied to these values when any congener was detected at less than three times the concentration found in the associated laboratory blank.  </w:t>
      </w:r>
    </w:p>
    <w:p w:rsidR="004C14E1" w:rsidRPr="004C14E1" w:rsidRDefault="004C14E1" w:rsidP="004C14E1">
      <w:pPr>
        <w:jc w:val="center"/>
        <w:rPr>
          <w:rStyle w:val="SubtleEmphasis"/>
        </w:rPr>
      </w:pPr>
      <w:r>
        <w:rPr>
          <w:rStyle w:val="SubtleEmphasis"/>
        </w:rPr>
        <w:t>Table 1</w:t>
      </w:r>
      <w:r w:rsidR="0065471C">
        <w:rPr>
          <w:rStyle w:val="SubtleEmphasis"/>
        </w:rPr>
        <w:t xml:space="preserve"> -</w:t>
      </w:r>
      <w:r>
        <w:rPr>
          <w:rStyle w:val="SubtleEmphasis"/>
        </w:rPr>
        <w:t xml:space="preserve"> Summary of Results (Total PCB, </w:t>
      </w:r>
      <w:r w:rsidR="002A5194">
        <w:rPr>
          <w:rStyle w:val="SubtleEmphasis"/>
        </w:rPr>
        <w:t xml:space="preserve">ppb or </w:t>
      </w:r>
      <w:r>
        <w:rPr>
          <w:rStyle w:val="SubtleEmphasis"/>
        </w:rPr>
        <w:t>ng/g)</w:t>
      </w:r>
    </w:p>
    <w:tbl>
      <w:tblPr>
        <w:tblStyle w:val="LightShading-Accent5"/>
        <w:tblW w:w="5000" w:type="pct"/>
        <w:jc w:val="center"/>
        <w:tblLook w:val="04A0"/>
      </w:tblPr>
      <w:tblGrid>
        <w:gridCol w:w="1916"/>
        <w:gridCol w:w="1915"/>
        <w:gridCol w:w="1915"/>
        <w:gridCol w:w="1915"/>
        <w:gridCol w:w="1915"/>
      </w:tblGrid>
      <w:tr w:rsidR="004C14E1" w:rsidRPr="004C14E1" w:rsidTr="004C14E1">
        <w:trPr>
          <w:cnfStyle w:val="100000000000"/>
          <w:trHeight w:val="315"/>
          <w:jc w:val="center"/>
        </w:trPr>
        <w:tc>
          <w:tcPr>
            <w:cnfStyle w:val="001000000000"/>
            <w:tcW w:w="1000" w:type="pct"/>
            <w:noWrap/>
            <w:hideMark/>
          </w:tcPr>
          <w:p w:rsidR="004C14E1" w:rsidRPr="004C14E1" w:rsidRDefault="004C14E1" w:rsidP="004C14E1">
            <w:pPr>
              <w:spacing w:after="0" w:line="240" w:lineRule="auto"/>
              <w:rPr>
                <w:rFonts w:eastAsia="Times New Roman"/>
                <w:color w:val="000000"/>
                <w:sz w:val="24"/>
                <w:szCs w:val="24"/>
              </w:rPr>
            </w:pPr>
            <w:r w:rsidRPr="004C14E1">
              <w:rPr>
                <w:rFonts w:eastAsia="Times New Roman"/>
                <w:color w:val="000000"/>
                <w:sz w:val="24"/>
                <w:szCs w:val="24"/>
              </w:rPr>
              <w:t> </w:t>
            </w:r>
          </w:p>
        </w:tc>
        <w:tc>
          <w:tcPr>
            <w:tcW w:w="1000" w:type="pct"/>
            <w:noWrap/>
            <w:hideMark/>
          </w:tcPr>
          <w:p w:rsidR="004C14E1" w:rsidRPr="004C14E1" w:rsidRDefault="004C14E1" w:rsidP="004C14E1">
            <w:pPr>
              <w:spacing w:after="0" w:line="240" w:lineRule="auto"/>
              <w:cnfStyle w:val="100000000000"/>
              <w:rPr>
                <w:rFonts w:eastAsia="Times New Roman"/>
                <w:color w:val="000000"/>
                <w:sz w:val="24"/>
                <w:szCs w:val="24"/>
              </w:rPr>
            </w:pPr>
            <w:r w:rsidRPr="004C14E1">
              <w:rPr>
                <w:rFonts w:eastAsia="Times New Roman"/>
                <w:color w:val="000000"/>
                <w:sz w:val="24"/>
                <w:szCs w:val="24"/>
              </w:rPr>
              <w:t>Product #1</w:t>
            </w:r>
          </w:p>
        </w:tc>
        <w:tc>
          <w:tcPr>
            <w:tcW w:w="1000" w:type="pct"/>
            <w:noWrap/>
            <w:hideMark/>
          </w:tcPr>
          <w:p w:rsidR="004C14E1" w:rsidRPr="004C14E1" w:rsidRDefault="004C14E1" w:rsidP="004C14E1">
            <w:pPr>
              <w:spacing w:after="0" w:line="240" w:lineRule="auto"/>
              <w:cnfStyle w:val="100000000000"/>
              <w:rPr>
                <w:rFonts w:eastAsia="Times New Roman"/>
                <w:color w:val="000000"/>
                <w:sz w:val="24"/>
                <w:szCs w:val="24"/>
              </w:rPr>
            </w:pPr>
            <w:r w:rsidRPr="004C14E1">
              <w:rPr>
                <w:rFonts w:eastAsia="Times New Roman"/>
                <w:color w:val="000000"/>
                <w:sz w:val="24"/>
                <w:szCs w:val="24"/>
              </w:rPr>
              <w:t>Product #2</w:t>
            </w:r>
          </w:p>
        </w:tc>
        <w:tc>
          <w:tcPr>
            <w:tcW w:w="1000" w:type="pct"/>
            <w:noWrap/>
            <w:hideMark/>
          </w:tcPr>
          <w:p w:rsidR="004C14E1" w:rsidRPr="004C14E1" w:rsidRDefault="004C14E1" w:rsidP="004C14E1">
            <w:pPr>
              <w:spacing w:after="0" w:line="240" w:lineRule="auto"/>
              <w:cnfStyle w:val="100000000000"/>
              <w:rPr>
                <w:rFonts w:eastAsia="Times New Roman"/>
                <w:color w:val="000000"/>
                <w:sz w:val="24"/>
                <w:szCs w:val="24"/>
              </w:rPr>
            </w:pPr>
            <w:r w:rsidRPr="004C14E1">
              <w:rPr>
                <w:rFonts w:eastAsia="Times New Roman"/>
                <w:color w:val="000000"/>
                <w:sz w:val="24"/>
                <w:szCs w:val="24"/>
              </w:rPr>
              <w:t>Product #3</w:t>
            </w:r>
          </w:p>
        </w:tc>
        <w:tc>
          <w:tcPr>
            <w:tcW w:w="1000" w:type="pct"/>
            <w:noWrap/>
            <w:hideMark/>
          </w:tcPr>
          <w:p w:rsidR="004C14E1" w:rsidRPr="004C14E1" w:rsidRDefault="004C14E1" w:rsidP="004C14E1">
            <w:pPr>
              <w:spacing w:after="0" w:line="240" w:lineRule="auto"/>
              <w:cnfStyle w:val="100000000000"/>
              <w:rPr>
                <w:rFonts w:eastAsia="Times New Roman"/>
                <w:color w:val="000000"/>
                <w:sz w:val="24"/>
                <w:szCs w:val="24"/>
              </w:rPr>
            </w:pPr>
            <w:r w:rsidRPr="004C14E1">
              <w:rPr>
                <w:rFonts w:eastAsia="Times New Roman"/>
                <w:color w:val="000000"/>
                <w:sz w:val="24"/>
                <w:szCs w:val="24"/>
              </w:rPr>
              <w:t>Product #4</w:t>
            </w:r>
          </w:p>
        </w:tc>
      </w:tr>
      <w:tr w:rsidR="004C14E1" w:rsidRPr="004C14E1" w:rsidTr="004C14E1">
        <w:trPr>
          <w:cnfStyle w:val="000000100000"/>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Finished Product</w:t>
            </w:r>
          </w:p>
        </w:tc>
        <w:tc>
          <w:tcPr>
            <w:tcW w:w="1000" w:type="pct"/>
            <w:noWrap/>
            <w:hideMark/>
          </w:tcPr>
          <w:p w:rsidR="004C14E1" w:rsidRPr="00484F40" w:rsidRDefault="00EC50DC" w:rsidP="004C14E1">
            <w:pPr>
              <w:spacing w:after="0" w:line="240" w:lineRule="auto"/>
              <w:jc w:val="center"/>
              <w:cnfStyle w:val="000000100000"/>
              <w:rPr>
                <w:rFonts w:eastAsia="Times New Roman"/>
                <w:color w:val="000000"/>
              </w:rPr>
            </w:pPr>
            <w:r>
              <w:rPr>
                <w:rFonts w:eastAsia="Times New Roman"/>
                <w:color w:val="000000"/>
              </w:rPr>
              <w:t>ND</w:t>
            </w:r>
            <w:r w:rsidR="001235DA">
              <w:rPr>
                <w:rFonts w:eastAsia="Times New Roman"/>
                <w:color w:val="000000"/>
              </w:rPr>
              <w:t>&lt;4.3</w:t>
            </w:r>
          </w:p>
        </w:tc>
        <w:tc>
          <w:tcPr>
            <w:tcW w:w="1000" w:type="pct"/>
            <w:noWrap/>
            <w:hideMark/>
          </w:tcPr>
          <w:p w:rsidR="004C14E1" w:rsidRPr="00484F40" w:rsidRDefault="00EC50DC" w:rsidP="004C14E1">
            <w:pPr>
              <w:spacing w:after="0" w:line="240" w:lineRule="auto"/>
              <w:jc w:val="center"/>
              <w:cnfStyle w:val="000000100000"/>
              <w:rPr>
                <w:rFonts w:eastAsia="Times New Roman"/>
                <w:color w:val="000000"/>
              </w:rPr>
            </w:pPr>
            <w:r>
              <w:rPr>
                <w:rFonts w:eastAsia="Times New Roman"/>
                <w:color w:val="000000"/>
              </w:rPr>
              <w:t>ND</w:t>
            </w:r>
            <w:r w:rsidR="004C14E1" w:rsidRPr="00484F40">
              <w:rPr>
                <w:rFonts w:eastAsia="Times New Roman"/>
                <w:color w:val="000000"/>
              </w:rPr>
              <w:t>&lt;0.294</w:t>
            </w:r>
          </w:p>
        </w:tc>
        <w:tc>
          <w:tcPr>
            <w:tcW w:w="1000" w:type="pct"/>
            <w:noWrap/>
            <w:hideMark/>
          </w:tcPr>
          <w:p w:rsidR="004C14E1" w:rsidRPr="00484F40" w:rsidRDefault="004C14E1" w:rsidP="004C14E1">
            <w:pPr>
              <w:spacing w:after="0" w:line="240" w:lineRule="auto"/>
              <w:jc w:val="center"/>
              <w:cnfStyle w:val="000000100000"/>
              <w:rPr>
                <w:rFonts w:eastAsia="Times New Roman"/>
                <w:color w:val="000000"/>
              </w:rPr>
            </w:pPr>
            <w:r w:rsidRPr="00484F40">
              <w:rPr>
                <w:rFonts w:eastAsia="Times New Roman"/>
                <w:color w:val="000000"/>
              </w:rPr>
              <w:t>4.65</w:t>
            </w:r>
          </w:p>
        </w:tc>
        <w:tc>
          <w:tcPr>
            <w:tcW w:w="1000" w:type="pct"/>
            <w:noWrap/>
            <w:hideMark/>
          </w:tcPr>
          <w:p w:rsidR="004C14E1" w:rsidRPr="004C14E1" w:rsidRDefault="00D1169E" w:rsidP="004C14E1">
            <w:pPr>
              <w:spacing w:after="0" w:line="240" w:lineRule="auto"/>
              <w:jc w:val="center"/>
              <w:cnfStyle w:val="000000100000"/>
              <w:rPr>
                <w:rFonts w:eastAsia="Times New Roman"/>
                <w:color w:val="000000"/>
              </w:rPr>
            </w:pPr>
            <w:r>
              <w:rPr>
                <w:rFonts w:eastAsia="Times New Roman"/>
                <w:color w:val="000000"/>
              </w:rPr>
              <w:t xml:space="preserve">ND </w:t>
            </w:r>
            <w:r w:rsidR="004C14E1" w:rsidRPr="004C14E1">
              <w:rPr>
                <w:rFonts w:eastAsia="Times New Roman"/>
                <w:color w:val="000000"/>
              </w:rPr>
              <w:t>&lt;0.284</w:t>
            </w:r>
          </w:p>
        </w:tc>
      </w:tr>
      <w:tr w:rsidR="004C14E1" w:rsidRPr="004C14E1" w:rsidTr="004C14E1">
        <w:trPr>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Base Material</w:t>
            </w:r>
          </w:p>
        </w:tc>
        <w:tc>
          <w:tcPr>
            <w:tcW w:w="1000" w:type="pct"/>
            <w:noWrap/>
            <w:hideMark/>
          </w:tcPr>
          <w:p w:rsidR="004C14E1" w:rsidRPr="00484F40" w:rsidRDefault="00EC50DC" w:rsidP="004C14E1">
            <w:pPr>
              <w:spacing w:after="0" w:line="240" w:lineRule="auto"/>
              <w:jc w:val="center"/>
              <w:cnfStyle w:val="000000000000"/>
              <w:rPr>
                <w:rFonts w:eastAsia="Times New Roman"/>
                <w:color w:val="000000"/>
              </w:rPr>
            </w:pPr>
            <w:r>
              <w:rPr>
                <w:rFonts w:eastAsia="Times New Roman"/>
                <w:color w:val="000000"/>
              </w:rPr>
              <w:t>ND</w:t>
            </w:r>
            <w:r w:rsidR="004C14E1" w:rsidRPr="00484F40">
              <w:rPr>
                <w:rFonts w:eastAsia="Times New Roman"/>
                <w:color w:val="000000"/>
              </w:rPr>
              <w:t>&lt;4.47</w:t>
            </w:r>
          </w:p>
        </w:tc>
        <w:tc>
          <w:tcPr>
            <w:tcW w:w="1000" w:type="pct"/>
            <w:noWrap/>
            <w:hideMark/>
          </w:tcPr>
          <w:p w:rsidR="004C14E1" w:rsidRPr="00484F40" w:rsidRDefault="00EC50DC" w:rsidP="004C14E1">
            <w:pPr>
              <w:spacing w:after="0" w:line="240" w:lineRule="auto"/>
              <w:jc w:val="center"/>
              <w:cnfStyle w:val="000000000000"/>
              <w:rPr>
                <w:rFonts w:eastAsia="Times New Roman"/>
                <w:color w:val="000000"/>
              </w:rPr>
            </w:pPr>
            <w:r>
              <w:rPr>
                <w:rFonts w:eastAsia="Times New Roman"/>
                <w:color w:val="000000"/>
              </w:rPr>
              <w:t>ND</w:t>
            </w:r>
            <w:r w:rsidR="001235DA">
              <w:rPr>
                <w:rFonts w:eastAsia="Times New Roman"/>
                <w:color w:val="000000"/>
              </w:rPr>
              <w:t>&lt;0.248</w:t>
            </w:r>
          </w:p>
        </w:tc>
        <w:tc>
          <w:tcPr>
            <w:tcW w:w="1000" w:type="pct"/>
            <w:noWrap/>
            <w:hideMark/>
          </w:tcPr>
          <w:p w:rsidR="004C14E1" w:rsidRPr="00484F40" w:rsidRDefault="00EC50DC" w:rsidP="004C14E1">
            <w:pPr>
              <w:spacing w:after="0" w:line="240" w:lineRule="auto"/>
              <w:jc w:val="center"/>
              <w:cnfStyle w:val="000000000000"/>
              <w:rPr>
                <w:rFonts w:eastAsia="Times New Roman"/>
                <w:color w:val="000000"/>
              </w:rPr>
            </w:pPr>
            <w:r>
              <w:rPr>
                <w:rFonts w:eastAsia="Times New Roman"/>
                <w:color w:val="000000"/>
              </w:rPr>
              <w:t>ND</w:t>
            </w:r>
            <w:r w:rsidR="001235DA">
              <w:rPr>
                <w:rFonts w:eastAsia="Times New Roman"/>
                <w:color w:val="000000"/>
              </w:rPr>
              <w:t>&lt;</w:t>
            </w:r>
            <w:r w:rsidR="008A11E9">
              <w:rPr>
                <w:rFonts w:eastAsia="Times New Roman"/>
                <w:color w:val="000000"/>
              </w:rPr>
              <w:t>0.</w:t>
            </w:r>
            <w:r w:rsidR="001235DA">
              <w:rPr>
                <w:rFonts w:eastAsia="Times New Roman"/>
                <w:color w:val="000000"/>
              </w:rPr>
              <w:t>491</w:t>
            </w:r>
          </w:p>
        </w:tc>
        <w:tc>
          <w:tcPr>
            <w:tcW w:w="1000" w:type="pct"/>
            <w:noWrap/>
            <w:hideMark/>
          </w:tcPr>
          <w:p w:rsidR="004C14E1" w:rsidRPr="004C14E1" w:rsidRDefault="00D1169E" w:rsidP="004C14E1">
            <w:pPr>
              <w:spacing w:after="0" w:line="240" w:lineRule="auto"/>
              <w:jc w:val="center"/>
              <w:cnfStyle w:val="000000000000"/>
              <w:rPr>
                <w:rFonts w:eastAsia="Times New Roman"/>
                <w:color w:val="000000"/>
              </w:rPr>
            </w:pPr>
            <w:r>
              <w:rPr>
                <w:rFonts w:eastAsia="Times New Roman"/>
                <w:color w:val="000000"/>
              </w:rPr>
              <w:t xml:space="preserve">ND </w:t>
            </w:r>
            <w:r w:rsidR="001235DA">
              <w:rPr>
                <w:rFonts w:eastAsia="Times New Roman"/>
                <w:color w:val="000000"/>
              </w:rPr>
              <w:t>&lt;0.157</w:t>
            </w:r>
          </w:p>
        </w:tc>
      </w:tr>
      <w:tr w:rsidR="004C14E1" w:rsidRPr="004C14E1" w:rsidTr="004C14E1">
        <w:trPr>
          <w:cnfStyle w:val="000000100000"/>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Base Material #2</w:t>
            </w:r>
          </w:p>
        </w:tc>
        <w:tc>
          <w:tcPr>
            <w:tcW w:w="1000" w:type="pct"/>
            <w:noWrap/>
            <w:hideMark/>
          </w:tcPr>
          <w:p w:rsidR="004C14E1" w:rsidRPr="00484F40" w:rsidRDefault="003341AF" w:rsidP="004C14E1">
            <w:pPr>
              <w:spacing w:after="0" w:line="240" w:lineRule="auto"/>
              <w:jc w:val="center"/>
              <w:cnfStyle w:val="000000100000"/>
              <w:rPr>
                <w:rFonts w:eastAsia="Times New Roman"/>
                <w:color w:val="000000"/>
              </w:rPr>
            </w:pPr>
            <w:r>
              <w:rPr>
                <w:rFonts w:eastAsia="Times New Roman"/>
                <w:color w:val="000000"/>
              </w:rPr>
              <w:t>N/A</w:t>
            </w:r>
          </w:p>
        </w:tc>
        <w:tc>
          <w:tcPr>
            <w:tcW w:w="1000" w:type="pct"/>
            <w:noWrap/>
            <w:hideMark/>
          </w:tcPr>
          <w:p w:rsidR="004C14E1" w:rsidRPr="00484F40" w:rsidRDefault="003341AF" w:rsidP="004C14E1">
            <w:pPr>
              <w:spacing w:after="0" w:line="240" w:lineRule="auto"/>
              <w:jc w:val="center"/>
              <w:cnfStyle w:val="000000100000"/>
              <w:rPr>
                <w:rFonts w:eastAsia="Times New Roman"/>
                <w:color w:val="000000"/>
              </w:rPr>
            </w:pPr>
            <w:r>
              <w:rPr>
                <w:rFonts w:eastAsia="Times New Roman"/>
                <w:color w:val="000000"/>
              </w:rPr>
              <w:t>N/A</w:t>
            </w:r>
          </w:p>
        </w:tc>
        <w:tc>
          <w:tcPr>
            <w:tcW w:w="1000" w:type="pct"/>
            <w:noWrap/>
            <w:hideMark/>
          </w:tcPr>
          <w:p w:rsidR="004C14E1" w:rsidRPr="00484F40" w:rsidRDefault="004C14E1" w:rsidP="004C14E1">
            <w:pPr>
              <w:spacing w:after="0" w:line="240" w:lineRule="auto"/>
              <w:jc w:val="center"/>
              <w:cnfStyle w:val="000000100000"/>
              <w:rPr>
                <w:rFonts w:eastAsia="Times New Roman"/>
                <w:color w:val="000000"/>
              </w:rPr>
            </w:pPr>
            <w:r w:rsidRPr="00484F40">
              <w:rPr>
                <w:rFonts w:eastAsia="Times New Roman"/>
                <w:color w:val="000000"/>
              </w:rPr>
              <w:t>0.513</w:t>
            </w:r>
          </w:p>
        </w:tc>
        <w:tc>
          <w:tcPr>
            <w:tcW w:w="1000" w:type="pct"/>
            <w:noWrap/>
            <w:hideMark/>
          </w:tcPr>
          <w:p w:rsidR="004C14E1" w:rsidRPr="004C14E1" w:rsidRDefault="003341AF" w:rsidP="004C14E1">
            <w:pPr>
              <w:spacing w:after="0" w:line="240" w:lineRule="auto"/>
              <w:jc w:val="center"/>
              <w:cnfStyle w:val="000000100000"/>
              <w:rPr>
                <w:rFonts w:eastAsia="Times New Roman"/>
                <w:color w:val="000000"/>
              </w:rPr>
            </w:pPr>
            <w:r>
              <w:rPr>
                <w:rFonts w:eastAsia="Times New Roman"/>
                <w:color w:val="000000"/>
              </w:rPr>
              <w:t>N/A</w:t>
            </w:r>
          </w:p>
        </w:tc>
      </w:tr>
      <w:tr w:rsidR="004C14E1" w:rsidRPr="004C14E1" w:rsidTr="004C14E1">
        <w:trPr>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Dye</w:t>
            </w:r>
          </w:p>
        </w:tc>
        <w:tc>
          <w:tcPr>
            <w:tcW w:w="1000" w:type="pct"/>
            <w:noWrap/>
            <w:hideMark/>
          </w:tcPr>
          <w:p w:rsidR="004C14E1" w:rsidRPr="00484F40" w:rsidRDefault="004C14E1" w:rsidP="004C14E1">
            <w:pPr>
              <w:spacing w:after="0" w:line="240" w:lineRule="auto"/>
              <w:jc w:val="center"/>
              <w:cnfStyle w:val="000000000000"/>
              <w:rPr>
                <w:rFonts w:eastAsia="Times New Roman"/>
                <w:color w:val="000000"/>
              </w:rPr>
            </w:pPr>
            <w:r w:rsidRPr="00484F40">
              <w:rPr>
                <w:rFonts w:eastAsia="Times New Roman"/>
                <w:color w:val="000000"/>
              </w:rPr>
              <w:t>1.82</w:t>
            </w:r>
          </w:p>
        </w:tc>
        <w:tc>
          <w:tcPr>
            <w:tcW w:w="1000" w:type="pct"/>
            <w:noWrap/>
            <w:hideMark/>
          </w:tcPr>
          <w:p w:rsidR="004C14E1" w:rsidRPr="00484F40" w:rsidRDefault="004C14E1" w:rsidP="004C14E1">
            <w:pPr>
              <w:spacing w:after="0" w:line="240" w:lineRule="auto"/>
              <w:jc w:val="center"/>
              <w:cnfStyle w:val="000000000000"/>
              <w:rPr>
                <w:rFonts w:eastAsia="Times New Roman"/>
                <w:color w:val="000000"/>
              </w:rPr>
            </w:pPr>
            <w:r w:rsidRPr="00484F40">
              <w:rPr>
                <w:rFonts w:eastAsia="Times New Roman"/>
                <w:color w:val="000000"/>
              </w:rPr>
              <w:t>2.11</w:t>
            </w:r>
          </w:p>
        </w:tc>
        <w:tc>
          <w:tcPr>
            <w:tcW w:w="1000" w:type="pct"/>
            <w:noWrap/>
            <w:hideMark/>
          </w:tcPr>
          <w:p w:rsidR="004C14E1" w:rsidRPr="00484F40" w:rsidRDefault="004C14E1" w:rsidP="004C14E1">
            <w:pPr>
              <w:spacing w:after="0" w:line="240" w:lineRule="auto"/>
              <w:jc w:val="center"/>
              <w:cnfStyle w:val="000000000000"/>
              <w:rPr>
                <w:rFonts w:eastAsia="Times New Roman"/>
                <w:color w:val="000000"/>
              </w:rPr>
            </w:pPr>
            <w:r w:rsidRPr="00484F40">
              <w:rPr>
                <w:rFonts w:eastAsia="Times New Roman"/>
                <w:color w:val="000000"/>
              </w:rPr>
              <w:t>0.599</w:t>
            </w:r>
          </w:p>
        </w:tc>
        <w:tc>
          <w:tcPr>
            <w:tcW w:w="1000" w:type="pct"/>
            <w:noWrap/>
            <w:hideMark/>
          </w:tcPr>
          <w:p w:rsidR="004C14E1" w:rsidRPr="004C14E1" w:rsidRDefault="00EC50DC" w:rsidP="004C14E1">
            <w:pPr>
              <w:spacing w:after="0" w:line="240" w:lineRule="auto"/>
              <w:jc w:val="center"/>
              <w:cnfStyle w:val="000000000000"/>
              <w:rPr>
                <w:rFonts w:eastAsia="Times New Roman"/>
                <w:color w:val="000000"/>
              </w:rPr>
            </w:pPr>
            <w:r>
              <w:rPr>
                <w:rFonts w:eastAsia="Times New Roman"/>
                <w:color w:val="000000"/>
              </w:rPr>
              <w:t>ND</w:t>
            </w:r>
            <w:r w:rsidR="004C14E1" w:rsidRPr="004C14E1">
              <w:rPr>
                <w:rFonts w:eastAsia="Times New Roman"/>
                <w:color w:val="000000"/>
              </w:rPr>
              <w:t>&lt;0.763</w:t>
            </w:r>
          </w:p>
        </w:tc>
      </w:tr>
      <w:tr w:rsidR="004C14E1" w:rsidRPr="004C14E1" w:rsidTr="004C14E1">
        <w:trPr>
          <w:cnfStyle w:val="000000100000"/>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Surfactant</w:t>
            </w:r>
          </w:p>
        </w:tc>
        <w:tc>
          <w:tcPr>
            <w:tcW w:w="1000" w:type="pct"/>
            <w:noWrap/>
            <w:hideMark/>
          </w:tcPr>
          <w:p w:rsidR="004C14E1" w:rsidRPr="00484F40" w:rsidRDefault="00EC50DC" w:rsidP="004C14E1">
            <w:pPr>
              <w:spacing w:after="0" w:line="240" w:lineRule="auto"/>
              <w:jc w:val="center"/>
              <w:cnfStyle w:val="000000100000"/>
              <w:rPr>
                <w:rFonts w:eastAsia="Times New Roman"/>
                <w:color w:val="000000"/>
              </w:rPr>
            </w:pPr>
            <w:r>
              <w:rPr>
                <w:rFonts w:eastAsia="Times New Roman"/>
                <w:color w:val="000000"/>
              </w:rPr>
              <w:t>ND</w:t>
            </w:r>
            <w:r w:rsidR="008A11E9">
              <w:rPr>
                <w:rFonts w:eastAsia="Times New Roman"/>
                <w:color w:val="000000"/>
              </w:rPr>
              <w:t>&lt;1.13</w:t>
            </w:r>
          </w:p>
        </w:tc>
        <w:tc>
          <w:tcPr>
            <w:tcW w:w="1000" w:type="pct"/>
            <w:noWrap/>
            <w:hideMark/>
          </w:tcPr>
          <w:p w:rsidR="004C14E1" w:rsidRPr="00484F40" w:rsidRDefault="00EC50DC" w:rsidP="004C14E1">
            <w:pPr>
              <w:spacing w:after="0" w:line="240" w:lineRule="auto"/>
              <w:jc w:val="center"/>
              <w:cnfStyle w:val="000000100000"/>
              <w:rPr>
                <w:rFonts w:eastAsia="Times New Roman"/>
                <w:color w:val="000000"/>
              </w:rPr>
            </w:pPr>
            <w:r>
              <w:rPr>
                <w:rFonts w:eastAsia="Times New Roman"/>
                <w:color w:val="000000"/>
              </w:rPr>
              <w:t>N/A</w:t>
            </w:r>
          </w:p>
        </w:tc>
        <w:tc>
          <w:tcPr>
            <w:tcW w:w="1000" w:type="pct"/>
            <w:noWrap/>
            <w:hideMark/>
          </w:tcPr>
          <w:p w:rsidR="004C14E1" w:rsidRPr="00484F40" w:rsidRDefault="00EC50DC" w:rsidP="004C14E1">
            <w:pPr>
              <w:spacing w:after="0" w:line="240" w:lineRule="auto"/>
              <w:jc w:val="center"/>
              <w:cnfStyle w:val="000000100000"/>
              <w:rPr>
                <w:rFonts w:eastAsia="Times New Roman"/>
                <w:color w:val="000000"/>
              </w:rPr>
            </w:pPr>
            <w:r>
              <w:rPr>
                <w:rFonts w:eastAsia="Times New Roman"/>
                <w:color w:val="000000"/>
              </w:rPr>
              <w:t>ND</w:t>
            </w:r>
            <w:r w:rsidR="004C14E1" w:rsidRPr="00484F40">
              <w:rPr>
                <w:rFonts w:eastAsia="Times New Roman"/>
                <w:color w:val="000000"/>
              </w:rPr>
              <w:t>&lt;30.9</w:t>
            </w:r>
          </w:p>
        </w:tc>
        <w:tc>
          <w:tcPr>
            <w:tcW w:w="1000" w:type="pct"/>
            <w:noWrap/>
            <w:hideMark/>
          </w:tcPr>
          <w:p w:rsidR="004C14E1" w:rsidRPr="004C14E1" w:rsidRDefault="003341AF" w:rsidP="004C14E1">
            <w:pPr>
              <w:spacing w:after="0" w:line="240" w:lineRule="auto"/>
              <w:jc w:val="center"/>
              <w:cnfStyle w:val="000000100000"/>
              <w:rPr>
                <w:rFonts w:eastAsia="Times New Roman"/>
                <w:color w:val="000000"/>
              </w:rPr>
            </w:pPr>
            <w:r w:rsidRPr="003341AF">
              <w:rPr>
                <w:rFonts w:eastAsia="Times New Roman"/>
                <w:color w:val="000000"/>
              </w:rPr>
              <w:t>N/A</w:t>
            </w:r>
          </w:p>
        </w:tc>
      </w:tr>
      <w:tr w:rsidR="004C14E1" w:rsidRPr="004C14E1" w:rsidTr="004C14E1">
        <w:trPr>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Tackifier</w:t>
            </w:r>
            <w:r>
              <w:rPr>
                <w:rFonts w:eastAsia="Times New Roman"/>
                <w:color w:val="000000"/>
              </w:rPr>
              <w:t xml:space="preserve"> </w:t>
            </w:r>
          </w:p>
        </w:tc>
        <w:tc>
          <w:tcPr>
            <w:tcW w:w="1000" w:type="pct"/>
            <w:noWrap/>
            <w:hideMark/>
          </w:tcPr>
          <w:p w:rsidR="004C14E1" w:rsidRPr="00484F40" w:rsidRDefault="003341AF" w:rsidP="004C14E1">
            <w:pPr>
              <w:spacing w:after="0" w:line="240" w:lineRule="auto"/>
              <w:jc w:val="center"/>
              <w:cnfStyle w:val="000000000000"/>
              <w:rPr>
                <w:rFonts w:eastAsia="Times New Roman"/>
                <w:color w:val="000000"/>
              </w:rPr>
            </w:pPr>
            <w:r w:rsidRPr="003341AF">
              <w:rPr>
                <w:rFonts w:eastAsia="Times New Roman"/>
                <w:color w:val="000000"/>
              </w:rPr>
              <w:t>N/A</w:t>
            </w:r>
          </w:p>
        </w:tc>
        <w:tc>
          <w:tcPr>
            <w:tcW w:w="1000" w:type="pct"/>
            <w:noWrap/>
            <w:hideMark/>
          </w:tcPr>
          <w:p w:rsidR="004C14E1" w:rsidRPr="00484F40" w:rsidRDefault="00EC50DC" w:rsidP="004C14E1">
            <w:pPr>
              <w:spacing w:after="0" w:line="240" w:lineRule="auto"/>
              <w:jc w:val="center"/>
              <w:cnfStyle w:val="000000000000"/>
              <w:rPr>
                <w:rFonts w:eastAsia="Times New Roman"/>
                <w:color w:val="000000"/>
              </w:rPr>
            </w:pPr>
            <w:r>
              <w:rPr>
                <w:rFonts w:eastAsia="Times New Roman"/>
                <w:color w:val="000000"/>
              </w:rPr>
              <w:t>ND</w:t>
            </w:r>
            <w:r w:rsidR="001235DA">
              <w:rPr>
                <w:rFonts w:eastAsia="Times New Roman"/>
                <w:color w:val="000000"/>
              </w:rPr>
              <w:t>&lt;0.604</w:t>
            </w:r>
          </w:p>
        </w:tc>
        <w:tc>
          <w:tcPr>
            <w:tcW w:w="1000" w:type="pct"/>
            <w:noWrap/>
            <w:hideMark/>
          </w:tcPr>
          <w:p w:rsidR="004C14E1" w:rsidRPr="00484F40" w:rsidRDefault="00EC50DC" w:rsidP="004C14E1">
            <w:pPr>
              <w:spacing w:after="0" w:line="240" w:lineRule="auto"/>
              <w:jc w:val="center"/>
              <w:cnfStyle w:val="000000000000"/>
              <w:rPr>
                <w:rFonts w:eastAsia="Times New Roman"/>
                <w:color w:val="000000"/>
              </w:rPr>
            </w:pPr>
            <w:r>
              <w:rPr>
                <w:rFonts w:eastAsia="Times New Roman"/>
                <w:color w:val="000000"/>
              </w:rPr>
              <w:t>ND</w:t>
            </w:r>
            <w:r w:rsidR="001235DA">
              <w:rPr>
                <w:rFonts w:eastAsia="Times New Roman"/>
                <w:color w:val="000000"/>
              </w:rPr>
              <w:t>&lt;0.885</w:t>
            </w:r>
          </w:p>
        </w:tc>
        <w:tc>
          <w:tcPr>
            <w:tcW w:w="1000" w:type="pct"/>
            <w:noWrap/>
            <w:hideMark/>
          </w:tcPr>
          <w:p w:rsidR="004C14E1" w:rsidRPr="004C14E1" w:rsidRDefault="00D1169E" w:rsidP="004C14E1">
            <w:pPr>
              <w:spacing w:after="0" w:line="240" w:lineRule="auto"/>
              <w:jc w:val="center"/>
              <w:cnfStyle w:val="000000000000"/>
              <w:rPr>
                <w:rFonts w:eastAsia="Times New Roman"/>
                <w:color w:val="000000"/>
              </w:rPr>
            </w:pPr>
            <w:r>
              <w:rPr>
                <w:rFonts w:eastAsia="Times New Roman"/>
                <w:color w:val="000000"/>
              </w:rPr>
              <w:t xml:space="preserve">ND </w:t>
            </w:r>
            <w:r w:rsidR="004C14E1" w:rsidRPr="004C14E1">
              <w:rPr>
                <w:rFonts w:eastAsia="Times New Roman"/>
                <w:color w:val="000000"/>
              </w:rPr>
              <w:t>&lt;0.704</w:t>
            </w:r>
          </w:p>
        </w:tc>
      </w:tr>
      <w:tr w:rsidR="004C14E1" w:rsidRPr="004C14E1" w:rsidTr="004C14E1">
        <w:trPr>
          <w:cnfStyle w:val="000000100000"/>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Tackifier #2</w:t>
            </w:r>
          </w:p>
        </w:tc>
        <w:tc>
          <w:tcPr>
            <w:tcW w:w="1000" w:type="pct"/>
            <w:noWrap/>
            <w:hideMark/>
          </w:tcPr>
          <w:p w:rsidR="004C14E1" w:rsidRPr="00484F40" w:rsidRDefault="003341AF" w:rsidP="004C14E1">
            <w:pPr>
              <w:spacing w:after="0" w:line="240" w:lineRule="auto"/>
              <w:jc w:val="center"/>
              <w:cnfStyle w:val="000000100000"/>
              <w:rPr>
                <w:rFonts w:eastAsia="Times New Roman"/>
                <w:color w:val="000000"/>
              </w:rPr>
            </w:pPr>
            <w:r w:rsidRPr="003341AF">
              <w:rPr>
                <w:rFonts w:eastAsia="Times New Roman"/>
                <w:color w:val="000000"/>
              </w:rPr>
              <w:t>N/A</w:t>
            </w:r>
          </w:p>
        </w:tc>
        <w:tc>
          <w:tcPr>
            <w:tcW w:w="1000" w:type="pct"/>
            <w:noWrap/>
            <w:hideMark/>
          </w:tcPr>
          <w:p w:rsidR="004C14E1" w:rsidRPr="00484F40" w:rsidRDefault="004C14E1" w:rsidP="004C14E1">
            <w:pPr>
              <w:spacing w:after="0" w:line="240" w:lineRule="auto"/>
              <w:jc w:val="center"/>
              <w:cnfStyle w:val="000000100000"/>
              <w:rPr>
                <w:rFonts w:eastAsia="Times New Roman"/>
                <w:color w:val="000000"/>
              </w:rPr>
            </w:pPr>
            <w:r w:rsidRPr="00484F40">
              <w:rPr>
                <w:rFonts w:eastAsia="Times New Roman"/>
                <w:color w:val="000000"/>
              </w:rPr>
              <w:t>4.89</w:t>
            </w:r>
          </w:p>
        </w:tc>
        <w:tc>
          <w:tcPr>
            <w:tcW w:w="1000" w:type="pct"/>
            <w:noWrap/>
            <w:hideMark/>
          </w:tcPr>
          <w:p w:rsidR="004C14E1" w:rsidRPr="00484F40" w:rsidRDefault="003341AF" w:rsidP="004C14E1">
            <w:pPr>
              <w:spacing w:after="0" w:line="240" w:lineRule="auto"/>
              <w:jc w:val="center"/>
              <w:cnfStyle w:val="000000100000"/>
              <w:rPr>
                <w:rFonts w:eastAsia="Times New Roman"/>
                <w:color w:val="000000"/>
              </w:rPr>
            </w:pPr>
            <w:r w:rsidRPr="003341AF">
              <w:rPr>
                <w:rFonts w:eastAsia="Times New Roman"/>
                <w:color w:val="000000"/>
              </w:rPr>
              <w:t>N/A</w:t>
            </w:r>
          </w:p>
        </w:tc>
        <w:tc>
          <w:tcPr>
            <w:tcW w:w="1000" w:type="pct"/>
            <w:noWrap/>
            <w:hideMark/>
          </w:tcPr>
          <w:p w:rsidR="004C14E1" w:rsidRPr="004C14E1" w:rsidRDefault="003341AF" w:rsidP="004C14E1">
            <w:pPr>
              <w:spacing w:after="0" w:line="240" w:lineRule="auto"/>
              <w:jc w:val="center"/>
              <w:cnfStyle w:val="000000100000"/>
              <w:rPr>
                <w:rFonts w:eastAsia="Times New Roman"/>
                <w:color w:val="000000"/>
              </w:rPr>
            </w:pPr>
            <w:r w:rsidRPr="003341AF">
              <w:rPr>
                <w:rFonts w:eastAsia="Times New Roman"/>
                <w:color w:val="000000"/>
              </w:rPr>
              <w:t>N/A</w:t>
            </w:r>
          </w:p>
        </w:tc>
      </w:tr>
      <w:tr w:rsidR="004C14E1" w:rsidRPr="004C14E1" w:rsidTr="004C14E1">
        <w:trPr>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Tackifier #3</w:t>
            </w:r>
          </w:p>
        </w:tc>
        <w:tc>
          <w:tcPr>
            <w:tcW w:w="1000" w:type="pct"/>
            <w:noWrap/>
            <w:hideMark/>
          </w:tcPr>
          <w:p w:rsidR="004C14E1" w:rsidRPr="00484F40" w:rsidRDefault="003341AF" w:rsidP="004C14E1">
            <w:pPr>
              <w:spacing w:after="0" w:line="240" w:lineRule="auto"/>
              <w:jc w:val="center"/>
              <w:cnfStyle w:val="000000000000"/>
              <w:rPr>
                <w:rFonts w:eastAsia="Times New Roman"/>
                <w:color w:val="000000"/>
              </w:rPr>
            </w:pPr>
            <w:r w:rsidRPr="003341AF">
              <w:rPr>
                <w:rFonts w:eastAsia="Times New Roman"/>
                <w:color w:val="000000"/>
              </w:rPr>
              <w:t>N/A</w:t>
            </w:r>
          </w:p>
        </w:tc>
        <w:tc>
          <w:tcPr>
            <w:tcW w:w="1000" w:type="pct"/>
            <w:noWrap/>
            <w:hideMark/>
          </w:tcPr>
          <w:p w:rsidR="004C14E1" w:rsidRPr="00484F40" w:rsidRDefault="00EC50DC" w:rsidP="004C14E1">
            <w:pPr>
              <w:spacing w:after="0" w:line="240" w:lineRule="auto"/>
              <w:jc w:val="center"/>
              <w:cnfStyle w:val="000000000000"/>
              <w:rPr>
                <w:rFonts w:eastAsia="Times New Roman"/>
                <w:color w:val="000000"/>
              </w:rPr>
            </w:pPr>
            <w:r>
              <w:rPr>
                <w:rFonts w:eastAsia="Times New Roman"/>
                <w:color w:val="000000"/>
              </w:rPr>
              <w:t>ND</w:t>
            </w:r>
            <w:r w:rsidR="001235DA">
              <w:rPr>
                <w:rFonts w:eastAsia="Times New Roman"/>
                <w:color w:val="000000"/>
              </w:rPr>
              <w:t>&lt;0.617</w:t>
            </w:r>
          </w:p>
        </w:tc>
        <w:tc>
          <w:tcPr>
            <w:tcW w:w="1000" w:type="pct"/>
            <w:noWrap/>
            <w:hideMark/>
          </w:tcPr>
          <w:p w:rsidR="004C14E1" w:rsidRPr="00484F40" w:rsidRDefault="003341AF" w:rsidP="004C14E1">
            <w:pPr>
              <w:spacing w:after="0" w:line="240" w:lineRule="auto"/>
              <w:jc w:val="center"/>
              <w:cnfStyle w:val="000000000000"/>
              <w:rPr>
                <w:rFonts w:eastAsia="Times New Roman"/>
                <w:color w:val="000000"/>
              </w:rPr>
            </w:pPr>
            <w:r w:rsidRPr="003341AF">
              <w:rPr>
                <w:rFonts w:eastAsia="Times New Roman"/>
                <w:color w:val="000000"/>
              </w:rPr>
              <w:t>N/A</w:t>
            </w:r>
          </w:p>
        </w:tc>
        <w:tc>
          <w:tcPr>
            <w:tcW w:w="1000" w:type="pct"/>
            <w:noWrap/>
            <w:hideMark/>
          </w:tcPr>
          <w:p w:rsidR="004C14E1" w:rsidRPr="004C14E1" w:rsidRDefault="003341AF" w:rsidP="004C14E1">
            <w:pPr>
              <w:spacing w:after="0" w:line="240" w:lineRule="auto"/>
              <w:jc w:val="center"/>
              <w:cnfStyle w:val="000000000000"/>
              <w:rPr>
                <w:rFonts w:eastAsia="Times New Roman"/>
                <w:color w:val="000000"/>
              </w:rPr>
            </w:pPr>
            <w:r w:rsidRPr="003341AF">
              <w:rPr>
                <w:rFonts w:eastAsia="Times New Roman"/>
                <w:color w:val="000000"/>
              </w:rPr>
              <w:t>N/A</w:t>
            </w:r>
          </w:p>
        </w:tc>
      </w:tr>
      <w:tr w:rsidR="004C14E1" w:rsidRPr="004C14E1" w:rsidTr="004C14E1">
        <w:trPr>
          <w:cnfStyle w:val="000000100000"/>
          <w:trHeight w:val="300"/>
          <w:jc w:val="center"/>
        </w:trPr>
        <w:tc>
          <w:tcPr>
            <w:cnfStyle w:val="001000000000"/>
            <w:tcW w:w="1000" w:type="pct"/>
            <w:noWrap/>
            <w:hideMark/>
          </w:tcPr>
          <w:p w:rsidR="004C14E1" w:rsidRPr="004C14E1" w:rsidRDefault="004C14E1" w:rsidP="004C14E1">
            <w:pPr>
              <w:spacing w:after="0" w:line="240" w:lineRule="auto"/>
              <w:rPr>
                <w:rFonts w:eastAsia="Times New Roman"/>
                <w:color w:val="000000"/>
              </w:rPr>
            </w:pPr>
            <w:r w:rsidRPr="004C14E1">
              <w:rPr>
                <w:rFonts w:eastAsia="Times New Roman"/>
                <w:color w:val="000000"/>
              </w:rPr>
              <w:t>Water</w:t>
            </w:r>
          </w:p>
        </w:tc>
        <w:tc>
          <w:tcPr>
            <w:tcW w:w="1000" w:type="pct"/>
            <w:noWrap/>
            <w:hideMark/>
          </w:tcPr>
          <w:p w:rsidR="004C14E1" w:rsidRPr="00484F40" w:rsidRDefault="00EC50DC" w:rsidP="004C14E1">
            <w:pPr>
              <w:spacing w:after="0" w:line="240" w:lineRule="auto"/>
              <w:jc w:val="center"/>
              <w:cnfStyle w:val="000000100000"/>
              <w:rPr>
                <w:rFonts w:eastAsia="Times New Roman"/>
                <w:color w:val="000000"/>
              </w:rPr>
            </w:pPr>
            <w:r>
              <w:rPr>
                <w:rFonts w:eastAsia="Times New Roman"/>
                <w:color w:val="000000"/>
              </w:rPr>
              <w:t>ND</w:t>
            </w:r>
            <w:r w:rsidR="001235DA">
              <w:rPr>
                <w:rFonts w:eastAsia="Times New Roman"/>
                <w:color w:val="000000"/>
              </w:rPr>
              <w:t>&lt;0.0006</w:t>
            </w:r>
          </w:p>
        </w:tc>
        <w:tc>
          <w:tcPr>
            <w:tcW w:w="1000" w:type="pct"/>
            <w:noWrap/>
            <w:hideMark/>
          </w:tcPr>
          <w:p w:rsidR="004C14E1" w:rsidRPr="00484F40" w:rsidRDefault="003341AF" w:rsidP="004C14E1">
            <w:pPr>
              <w:spacing w:after="0" w:line="240" w:lineRule="auto"/>
              <w:jc w:val="center"/>
              <w:cnfStyle w:val="000000100000"/>
              <w:rPr>
                <w:rFonts w:eastAsia="Times New Roman"/>
                <w:color w:val="000000"/>
              </w:rPr>
            </w:pPr>
            <w:r w:rsidRPr="003341AF">
              <w:rPr>
                <w:rFonts w:eastAsia="Times New Roman"/>
                <w:color w:val="000000"/>
              </w:rPr>
              <w:t>N/A</w:t>
            </w:r>
          </w:p>
        </w:tc>
        <w:tc>
          <w:tcPr>
            <w:tcW w:w="1000" w:type="pct"/>
            <w:noWrap/>
            <w:hideMark/>
          </w:tcPr>
          <w:p w:rsidR="004C14E1" w:rsidRPr="00484F40" w:rsidRDefault="003341AF" w:rsidP="004C14E1">
            <w:pPr>
              <w:spacing w:after="0" w:line="240" w:lineRule="auto"/>
              <w:jc w:val="center"/>
              <w:cnfStyle w:val="000000100000"/>
              <w:rPr>
                <w:rFonts w:eastAsia="Times New Roman"/>
                <w:color w:val="000000"/>
              </w:rPr>
            </w:pPr>
            <w:r w:rsidRPr="003341AF">
              <w:rPr>
                <w:rFonts w:eastAsia="Times New Roman"/>
                <w:color w:val="000000"/>
              </w:rPr>
              <w:t>N/A</w:t>
            </w:r>
          </w:p>
        </w:tc>
        <w:tc>
          <w:tcPr>
            <w:tcW w:w="1000" w:type="pct"/>
            <w:noWrap/>
            <w:hideMark/>
          </w:tcPr>
          <w:p w:rsidR="004C14E1" w:rsidRPr="004C14E1" w:rsidRDefault="003341AF" w:rsidP="004C14E1">
            <w:pPr>
              <w:spacing w:after="0" w:line="240" w:lineRule="auto"/>
              <w:jc w:val="center"/>
              <w:cnfStyle w:val="000000100000"/>
              <w:rPr>
                <w:rFonts w:eastAsia="Times New Roman"/>
                <w:color w:val="000000"/>
              </w:rPr>
            </w:pPr>
            <w:r w:rsidRPr="003341AF">
              <w:rPr>
                <w:rFonts w:eastAsia="Times New Roman"/>
                <w:color w:val="000000"/>
              </w:rPr>
              <w:t>N/A</w:t>
            </w:r>
          </w:p>
        </w:tc>
      </w:tr>
    </w:tbl>
    <w:p w:rsidR="004C14E1" w:rsidRPr="004C14E1" w:rsidRDefault="004C14E1" w:rsidP="004C14E1">
      <w:pPr>
        <w:spacing w:after="0"/>
        <w:rPr>
          <w:rStyle w:val="Emphasis"/>
          <w:sz w:val="18"/>
          <w:szCs w:val="18"/>
        </w:rPr>
      </w:pPr>
      <w:r w:rsidRPr="004C14E1">
        <w:rPr>
          <w:rStyle w:val="Emphasis"/>
          <w:sz w:val="18"/>
          <w:szCs w:val="18"/>
        </w:rPr>
        <w:t>Notes:</w:t>
      </w:r>
    </w:p>
    <w:p w:rsidR="004C14E1" w:rsidRDefault="003341AF" w:rsidP="004C14E1">
      <w:pPr>
        <w:spacing w:after="0"/>
        <w:rPr>
          <w:rStyle w:val="Emphasis"/>
          <w:sz w:val="18"/>
          <w:szCs w:val="18"/>
        </w:rPr>
      </w:pPr>
      <w:r w:rsidRPr="003341AF">
        <w:rPr>
          <w:rStyle w:val="Emphasis"/>
          <w:sz w:val="18"/>
          <w:szCs w:val="18"/>
        </w:rPr>
        <w:t>N/A</w:t>
      </w:r>
      <w:r w:rsidR="004C14E1" w:rsidRPr="004C14E1">
        <w:rPr>
          <w:rStyle w:val="Emphasis"/>
          <w:sz w:val="18"/>
          <w:szCs w:val="18"/>
        </w:rPr>
        <w:t xml:space="preserve"> = not applicable (not used in product or supplied to laboratory)</w:t>
      </w:r>
    </w:p>
    <w:p w:rsidR="00D1169E" w:rsidRDefault="00D1169E" w:rsidP="004C14E1">
      <w:pPr>
        <w:spacing w:after="0"/>
        <w:rPr>
          <w:rStyle w:val="Emphasis"/>
          <w:sz w:val="18"/>
          <w:szCs w:val="18"/>
        </w:rPr>
      </w:pPr>
      <w:r>
        <w:rPr>
          <w:rStyle w:val="Emphasis"/>
          <w:sz w:val="18"/>
          <w:szCs w:val="18"/>
        </w:rPr>
        <w:t>ND = Not Detectable (&lt;detection limit)</w:t>
      </w:r>
    </w:p>
    <w:p w:rsidR="00BD62E0" w:rsidRDefault="00BD62E0" w:rsidP="004C14E1">
      <w:pPr>
        <w:spacing w:after="0"/>
        <w:rPr>
          <w:rStyle w:val="Emphasis"/>
          <w:sz w:val="18"/>
          <w:szCs w:val="18"/>
        </w:rPr>
      </w:pPr>
      <w:r>
        <w:rPr>
          <w:rStyle w:val="Emphasis"/>
          <w:sz w:val="18"/>
          <w:szCs w:val="18"/>
        </w:rPr>
        <w:t>&lt;X.XX = represents the highest reporting limit of all the congeners</w:t>
      </w:r>
    </w:p>
    <w:p w:rsidR="004C14E1" w:rsidRDefault="004C14E1" w:rsidP="00E37A9D">
      <w:pPr>
        <w:spacing w:after="0"/>
        <w:rPr>
          <w:rStyle w:val="Emphasis"/>
          <w:i w:val="0"/>
        </w:rPr>
      </w:pPr>
    </w:p>
    <w:p w:rsidR="00BD62E0" w:rsidRDefault="00D7073D" w:rsidP="000A12B9">
      <w:pPr>
        <w:spacing w:after="240"/>
        <w:rPr>
          <w:rStyle w:val="Emphasis"/>
          <w:i w:val="0"/>
        </w:rPr>
      </w:pPr>
      <w:r>
        <w:rPr>
          <w:rStyle w:val="Emphasis"/>
          <w:i w:val="0"/>
        </w:rPr>
        <w:t>Analyses shown as “ND” in Table 1 indicate that PCBs were not detected for any of the 209 congeners above the</w:t>
      </w:r>
      <w:r w:rsidR="003913FC">
        <w:rPr>
          <w:rStyle w:val="Emphasis"/>
          <w:i w:val="0"/>
        </w:rPr>
        <w:t>ir respective</w:t>
      </w:r>
      <w:r>
        <w:rPr>
          <w:rStyle w:val="Emphasis"/>
          <w:i w:val="0"/>
        </w:rPr>
        <w:t xml:space="preserve"> reporting limit</w:t>
      </w:r>
      <w:r w:rsidR="003913FC">
        <w:rPr>
          <w:rStyle w:val="Emphasis"/>
          <w:i w:val="0"/>
        </w:rPr>
        <w:t>s</w:t>
      </w:r>
      <w:r>
        <w:rPr>
          <w:rStyle w:val="Emphasis"/>
          <w:i w:val="0"/>
        </w:rPr>
        <w:t xml:space="preserve">.  The “&lt;X.XX” number following the ND </w:t>
      </w:r>
      <w:r w:rsidR="00BD62E0" w:rsidRPr="00BD62E0">
        <w:rPr>
          <w:rStyle w:val="Emphasis"/>
          <w:i w:val="0"/>
        </w:rPr>
        <w:t xml:space="preserve">represents the highest reporting limit given for an individual congener for that sample’s </w:t>
      </w:r>
      <w:r>
        <w:rPr>
          <w:rStyle w:val="Emphasis"/>
          <w:i w:val="0"/>
        </w:rPr>
        <w:t xml:space="preserve">209 different congener results.  This does not necessarily mean that PCBs are not present in the </w:t>
      </w:r>
      <w:r w:rsidR="003913FC">
        <w:rPr>
          <w:rStyle w:val="Emphasis"/>
          <w:i w:val="0"/>
        </w:rPr>
        <w:t>sample;</w:t>
      </w:r>
      <w:r>
        <w:rPr>
          <w:rStyle w:val="Emphasis"/>
          <w:i w:val="0"/>
        </w:rPr>
        <w:t xml:space="preserve"> it simply means that PCBs were not detected above the reporting limits using this test method.</w:t>
      </w:r>
    </w:p>
    <w:p w:rsidR="0065471C" w:rsidRDefault="00852E97" w:rsidP="00823C8A">
      <w:pPr>
        <w:spacing w:after="240"/>
        <w:rPr>
          <w:rStyle w:val="Emphasis"/>
          <w:i w:val="0"/>
        </w:rPr>
      </w:pPr>
      <w:r>
        <w:rPr>
          <w:rStyle w:val="Emphasis"/>
          <w:i w:val="0"/>
        </w:rPr>
        <w:t xml:space="preserve">Many of the congeners were flagged </w:t>
      </w:r>
      <w:r w:rsidR="003341AF">
        <w:rPr>
          <w:rStyle w:val="Emphasis"/>
          <w:i w:val="0"/>
        </w:rPr>
        <w:t xml:space="preserve">by the laboratory as </w:t>
      </w:r>
      <w:r>
        <w:rPr>
          <w:rStyle w:val="Emphasis"/>
          <w:i w:val="0"/>
        </w:rPr>
        <w:t>“NJ” and therefore not included in the total PCB summation</w:t>
      </w:r>
      <w:r w:rsidR="003341AF">
        <w:rPr>
          <w:rStyle w:val="Emphasis"/>
          <w:i w:val="0"/>
        </w:rPr>
        <w:t xml:space="preserve"> in accordance with the QAPP</w:t>
      </w:r>
      <w:r>
        <w:rPr>
          <w:rStyle w:val="Emphasis"/>
          <w:i w:val="0"/>
        </w:rPr>
        <w:t xml:space="preserve">.  NJ flags are </w:t>
      </w:r>
      <w:r w:rsidR="003341AF">
        <w:rPr>
          <w:rStyle w:val="Emphasis"/>
          <w:i w:val="0"/>
        </w:rPr>
        <w:t xml:space="preserve">data qualifiers </w:t>
      </w:r>
      <w:r>
        <w:rPr>
          <w:rStyle w:val="Emphasis"/>
          <w:i w:val="0"/>
        </w:rPr>
        <w:t>given</w:t>
      </w:r>
      <w:r w:rsidR="003341AF">
        <w:rPr>
          <w:rStyle w:val="Emphasis"/>
          <w:i w:val="0"/>
        </w:rPr>
        <w:t xml:space="preserve"> by the laboratory</w:t>
      </w:r>
      <w:r>
        <w:rPr>
          <w:rStyle w:val="Emphasis"/>
          <w:i w:val="0"/>
        </w:rPr>
        <w:t xml:space="preserve"> when a peak is detected in the instrumentation, but did not meet quantification criteria.  A value is assigned to the congener that represents the estimated maximum concentration.   Each of the samples contained congeners with NJ flags with the exception of the tackifier from Product #4.  Total PCBs including NJ flagged congeners can give some insights into where PCB compounds may be found in products, but these data cannot be relied on as reportable total P</w:t>
      </w:r>
      <w:r w:rsidR="00823C8A">
        <w:rPr>
          <w:rStyle w:val="Emphasis"/>
          <w:i w:val="0"/>
        </w:rPr>
        <w:t xml:space="preserve">CB values per QC requirements.   </w:t>
      </w:r>
    </w:p>
    <w:p w:rsidR="00D7073D" w:rsidRDefault="00D7073D" w:rsidP="000A12B9">
      <w:pPr>
        <w:spacing w:after="240"/>
        <w:rPr>
          <w:rStyle w:val="Emphasis"/>
          <w:i w:val="0"/>
        </w:rPr>
      </w:pPr>
      <w:r w:rsidRPr="00D7073D">
        <w:rPr>
          <w:rStyle w:val="Emphasis"/>
          <w:i w:val="0"/>
        </w:rPr>
        <w:t xml:space="preserve">As stated under the Project Description above, a less sensitive and less expensive method was used for this study as an initial screening method since the City’s original </w:t>
      </w:r>
      <w:r w:rsidR="002A5194">
        <w:rPr>
          <w:rStyle w:val="Emphasis"/>
          <w:i w:val="0"/>
        </w:rPr>
        <w:t>Hydroseed</w:t>
      </w:r>
      <w:r w:rsidRPr="00D7073D">
        <w:rPr>
          <w:rStyle w:val="Emphasis"/>
          <w:i w:val="0"/>
        </w:rPr>
        <w:t xml:space="preserve"> Total PCB results were relatively high.  Because of the higher detection limits, very few of the 209 possible PCB congeners were detected above the </w:t>
      </w:r>
      <w:r w:rsidR="003913FC">
        <w:rPr>
          <w:rStyle w:val="Emphasis"/>
          <w:i w:val="0"/>
        </w:rPr>
        <w:t>p</w:t>
      </w:r>
      <w:r w:rsidR="003913FC" w:rsidRPr="003913FC">
        <w:rPr>
          <w:rStyle w:val="Emphasis"/>
          <w:i w:val="0"/>
        </w:rPr>
        <w:t xml:space="preserve">ractical </w:t>
      </w:r>
      <w:r w:rsidR="003913FC">
        <w:rPr>
          <w:rStyle w:val="Emphasis"/>
          <w:i w:val="0"/>
        </w:rPr>
        <w:t>q</w:t>
      </w:r>
      <w:r w:rsidR="003913FC" w:rsidRPr="003913FC">
        <w:rPr>
          <w:rStyle w:val="Emphasis"/>
          <w:i w:val="0"/>
        </w:rPr>
        <w:t xml:space="preserve">uantification </w:t>
      </w:r>
      <w:r w:rsidR="003913FC">
        <w:rPr>
          <w:rStyle w:val="Emphasis"/>
          <w:i w:val="0"/>
        </w:rPr>
        <w:t>l</w:t>
      </w:r>
      <w:r w:rsidR="003913FC" w:rsidRPr="003913FC">
        <w:rPr>
          <w:rStyle w:val="Emphasis"/>
          <w:i w:val="0"/>
        </w:rPr>
        <w:t>imit</w:t>
      </w:r>
      <w:r w:rsidR="003913FC">
        <w:rPr>
          <w:rStyle w:val="Emphasis"/>
          <w:i w:val="0"/>
        </w:rPr>
        <w:t>s (</w:t>
      </w:r>
      <w:r w:rsidRPr="00D7073D">
        <w:rPr>
          <w:rStyle w:val="Emphasis"/>
          <w:i w:val="0"/>
        </w:rPr>
        <w:t>PQL</w:t>
      </w:r>
      <w:r w:rsidR="003913FC">
        <w:rPr>
          <w:rStyle w:val="Emphasis"/>
          <w:i w:val="0"/>
        </w:rPr>
        <w:t>)</w:t>
      </w:r>
      <w:r w:rsidRPr="00D7073D">
        <w:rPr>
          <w:rStyle w:val="Emphasis"/>
          <w:i w:val="0"/>
        </w:rPr>
        <w:t xml:space="preserve">.  The results of this study were well below the levels detected by the City of Spokane from their original analysis of the Nature’s Own </w:t>
      </w:r>
      <w:r w:rsidR="002A5194">
        <w:rPr>
          <w:rStyle w:val="Emphasis"/>
          <w:i w:val="0"/>
        </w:rPr>
        <w:t>Hydroseed</w:t>
      </w:r>
      <w:r w:rsidRPr="00D7073D">
        <w:rPr>
          <w:rStyle w:val="Emphasis"/>
          <w:i w:val="0"/>
        </w:rPr>
        <w:t xml:space="preserve"> manufactured by Hamilton Manufacturing, Inc.  Although no “smoking guns” were ide</w:t>
      </w:r>
      <w:r w:rsidR="003913FC">
        <w:rPr>
          <w:rStyle w:val="Emphasis"/>
          <w:i w:val="0"/>
        </w:rPr>
        <w:t xml:space="preserve">ntified that contributed to similar </w:t>
      </w:r>
      <w:r w:rsidRPr="00D7073D">
        <w:rPr>
          <w:rStyle w:val="Emphasis"/>
          <w:i w:val="0"/>
        </w:rPr>
        <w:t>levels of PCBs found in the original sample, there appear</w:t>
      </w:r>
      <w:r w:rsidR="00327B88">
        <w:rPr>
          <w:rStyle w:val="Emphasis"/>
          <w:i w:val="0"/>
        </w:rPr>
        <w:t>s</w:t>
      </w:r>
      <w:r w:rsidRPr="00D7073D">
        <w:rPr>
          <w:rStyle w:val="Emphasis"/>
          <w:i w:val="0"/>
        </w:rPr>
        <w:t xml:space="preserve"> to be potential contribution of PCB’s from the dyes and some tackifiers in the ppb range.</w:t>
      </w:r>
      <w:r w:rsidR="001235DA">
        <w:t xml:space="preserve">  </w:t>
      </w:r>
      <w:r w:rsidR="001235DA" w:rsidRPr="001235DA">
        <w:rPr>
          <w:rStyle w:val="Emphasis"/>
          <w:i w:val="0"/>
        </w:rPr>
        <w:t xml:space="preserve">The following </w:t>
      </w:r>
      <w:r w:rsidR="00823C8A">
        <w:rPr>
          <w:rStyle w:val="Emphasis"/>
          <w:i w:val="0"/>
        </w:rPr>
        <w:t xml:space="preserve">provides a brief </w:t>
      </w:r>
      <w:r w:rsidR="001235DA" w:rsidRPr="001235DA">
        <w:rPr>
          <w:rStyle w:val="Emphasis"/>
          <w:i w:val="0"/>
        </w:rPr>
        <w:t>summar</w:t>
      </w:r>
      <w:r w:rsidR="00823C8A">
        <w:rPr>
          <w:rStyle w:val="Emphasis"/>
          <w:i w:val="0"/>
        </w:rPr>
        <w:t>y</w:t>
      </w:r>
      <w:r w:rsidR="001235DA" w:rsidRPr="001235DA">
        <w:rPr>
          <w:rStyle w:val="Emphasis"/>
          <w:i w:val="0"/>
        </w:rPr>
        <w:t xml:space="preserve"> of </w:t>
      </w:r>
      <w:r w:rsidR="00823C8A">
        <w:rPr>
          <w:rStyle w:val="Emphasis"/>
          <w:i w:val="0"/>
        </w:rPr>
        <w:t xml:space="preserve">the composite products and each component </w:t>
      </w:r>
      <w:r w:rsidR="003A2E89">
        <w:rPr>
          <w:rStyle w:val="Emphasis"/>
          <w:i w:val="0"/>
        </w:rPr>
        <w:t>analyzed</w:t>
      </w:r>
      <w:r w:rsidR="00327B88">
        <w:rPr>
          <w:rStyle w:val="Emphasis"/>
          <w:i w:val="0"/>
        </w:rPr>
        <w:t xml:space="preserve"> </w:t>
      </w:r>
      <w:r w:rsidR="003913FC">
        <w:rPr>
          <w:rStyle w:val="Emphasis"/>
          <w:i w:val="0"/>
        </w:rPr>
        <w:t xml:space="preserve">where </w:t>
      </w:r>
      <w:r w:rsidR="00327B88">
        <w:rPr>
          <w:rStyle w:val="Emphasis"/>
          <w:i w:val="0"/>
        </w:rPr>
        <w:t>“detectable</w:t>
      </w:r>
      <w:r w:rsidR="003A2E89">
        <w:rPr>
          <w:rStyle w:val="Emphasis"/>
          <w:i w:val="0"/>
        </w:rPr>
        <w:t xml:space="preserve">” levels of PCBs </w:t>
      </w:r>
      <w:r w:rsidR="00F5302F">
        <w:rPr>
          <w:rStyle w:val="Emphasis"/>
          <w:i w:val="0"/>
        </w:rPr>
        <w:t xml:space="preserve">were observed </w:t>
      </w:r>
      <w:r w:rsidR="003A2E89">
        <w:rPr>
          <w:rStyle w:val="Emphasis"/>
          <w:i w:val="0"/>
        </w:rPr>
        <w:t>using this test method</w:t>
      </w:r>
      <w:r w:rsidR="00327B88">
        <w:rPr>
          <w:rStyle w:val="Emphasis"/>
          <w:i w:val="0"/>
        </w:rPr>
        <w:t xml:space="preserve">.  </w:t>
      </w:r>
      <w:r w:rsidR="003A2E89">
        <w:rPr>
          <w:rStyle w:val="Emphasis"/>
          <w:i w:val="0"/>
        </w:rPr>
        <w:t xml:space="preserve">As stated above, this does not necessarily mean that PCBs are not present in the other samples </w:t>
      </w:r>
      <w:r w:rsidR="00F5302F">
        <w:rPr>
          <w:rStyle w:val="Emphasis"/>
          <w:i w:val="0"/>
        </w:rPr>
        <w:t>analyzed;</w:t>
      </w:r>
      <w:r w:rsidR="003A2E89">
        <w:rPr>
          <w:rStyle w:val="Emphasis"/>
          <w:i w:val="0"/>
        </w:rPr>
        <w:t xml:space="preserve"> it simply means that PCBs were not detected above the reporting limits using this test method</w:t>
      </w:r>
      <w:r w:rsidR="00823C8A">
        <w:rPr>
          <w:rStyle w:val="Emphasis"/>
          <w:i w:val="0"/>
        </w:rPr>
        <w:t>:</w:t>
      </w:r>
      <w:r w:rsidR="001235DA" w:rsidRPr="001235DA">
        <w:rPr>
          <w:rStyle w:val="Emphasis"/>
          <w:i w:val="0"/>
        </w:rPr>
        <w:t xml:space="preserve">   </w:t>
      </w:r>
    </w:p>
    <w:p w:rsidR="00E37A9D" w:rsidRDefault="000A12B9" w:rsidP="000A12B9">
      <w:pPr>
        <w:pStyle w:val="Heading3"/>
        <w:rPr>
          <w:rStyle w:val="Emphasis"/>
          <w:i w:val="0"/>
        </w:rPr>
      </w:pPr>
      <w:r>
        <w:rPr>
          <w:rStyle w:val="Emphasis"/>
          <w:i w:val="0"/>
        </w:rPr>
        <w:t xml:space="preserve">Finished Product </w:t>
      </w:r>
    </w:p>
    <w:p w:rsidR="000A12B9" w:rsidRDefault="003341AF" w:rsidP="000A12B9">
      <w:r>
        <w:t xml:space="preserve">The “Finished Product” is the composite product that </w:t>
      </w:r>
      <w:r w:rsidR="003A2E89">
        <w:t xml:space="preserve">includes all of the various components of that product (base material, dye, surfactant, tackifier, etc.) that </w:t>
      </w:r>
      <w:r>
        <w:t xml:space="preserve">would be sold and marketed under the Product # indicated.  </w:t>
      </w:r>
      <w:r w:rsidR="000A12B9">
        <w:t xml:space="preserve">The only finish product with detectable PCBs </w:t>
      </w:r>
      <w:r w:rsidR="003A2E89">
        <w:t>above the reporting threshold is</w:t>
      </w:r>
      <w:r w:rsidR="000A12B9">
        <w:t xml:space="preserve"> Product #3</w:t>
      </w:r>
      <w:r w:rsidR="00823C8A">
        <w:t xml:space="preserve"> with a Total PCB</w:t>
      </w:r>
      <w:r w:rsidR="00327B88">
        <w:t xml:space="preserve"> concentration</w:t>
      </w:r>
      <w:r w:rsidR="00823C8A">
        <w:t xml:space="preserve"> of 4.65 ppb</w:t>
      </w:r>
      <w:r w:rsidR="003A2E89">
        <w:t xml:space="preserve">, consisting entirely </w:t>
      </w:r>
      <w:r w:rsidR="008C08DD">
        <w:t xml:space="preserve">of the </w:t>
      </w:r>
      <w:r w:rsidR="000A12B9">
        <w:t>PCB-29</w:t>
      </w:r>
      <w:r w:rsidR="003A2E89">
        <w:t xml:space="preserve"> congener</w:t>
      </w:r>
      <w:r w:rsidR="000A12B9">
        <w:t xml:space="preserve">.  </w:t>
      </w:r>
    </w:p>
    <w:p w:rsidR="000A12B9" w:rsidRPr="000A12B9" w:rsidRDefault="000A12B9" w:rsidP="000A12B9">
      <w:pPr>
        <w:pStyle w:val="Heading3"/>
      </w:pPr>
      <w:r>
        <w:t xml:space="preserve">Base Material </w:t>
      </w:r>
    </w:p>
    <w:p w:rsidR="00E37A9D" w:rsidRDefault="007600E4" w:rsidP="00E37A9D">
      <w:pPr>
        <w:rPr>
          <w:rStyle w:val="Emphasis"/>
          <w:i w:val="0"/>
        </w:rPr>
      </w:pPr>
      <w:r>
        <w:rPr>
          <w:rStyle w:val="Emphasis"/>
          <w:i w:val="0"/>
        </w:rPr>
        <w:t>Base materials make up the product’s mulch, and can be composed from a number of different feed stocks such as hard or soft wood, paper,</w:t>
      </w:r>
      <w:r w:rsidR="004E6312">
        <w:rPr>
          <w:rStyle w:val="Emphasis"/>
          <w:i w:val="0"/>
        </w:rPr>
        <w:t xml:space="preserve"> cotton,</w:t>
      </w:r>
      <w:r>
        <w:rPr>
          <w:rStyle w:val="Emphasis"/>
          <w:i w:val="0"/>
        </w:rPr>
        <w:t xml:space="preserve"> straw, etc.  The only base material with detectable PCBs </w:t>
      </w:r>
      <w:r w:rsidR="008C08DD" w:rsidRPr="008C08DD">
        <w:rPr>
          <w:rStyle w:val="Emphasis"/>
          <w:i w:val="0"/>
        </w:rPr>
        <w:t xml:space="preserve">above the reporting threshold is </w:t>
      </w:r>
      <w:r>
        <w:rPr>
          <w:rStyle w:val="Emphasis"/>
          <w:i w:val="0"/>
        </w:rPr>
        <w:t xml:space="preserve">the second </w:t>
      </w:r>
      <w:r w:rsidR="00F5302F">
        <w:rPr>
          <w:rStyle w:val="Emphasis"/>
          <w:i w:val="0"/>
        </w:rPr>
        <w:t xml:space="preserve">base </w:t>
      </w:r>
      <w:r>
        <w:rPr>
          <w:rStyle w:val="Emphasis"/>
          <w:i w:val="0"/>
        </w:rPr>
        <w:t>ma</w:t>
      </w:r>
      <w:r w:rsidR="008C08DD">
        <w:rPr>
          <w:rStyle w:val="Emphasis"/>
          <w:i w:val="0"/>
        </w:rPr>
        <w:t>terial provided with Product #3</w:t>
      </w:r>
      <w:r w:rsidR="00F5302F" w:rsidRPr="00F5302F">
        <w:t xml:space="preserve"> </w:t>
      </w:r>
      <w:r w:rsidR="00F5302F">
        <w:rPr>
          <w:rStyle w:val="Emphasis"/>
          <w:i w:val="0"/>
        </w:rPr>
        <w:t>that had</w:t>
      </w:r>
      <w:r w:rsidR="00F5302F" w:rsidRPr="00F5302F">
        <w:rPr>
          <w:rStyle w:val="Emphasis"/>
          <w:i w:val="0"/>
        </w:rPr>
        <w:t xml:space="preserve"> a Total PCB concentration</w:t>
      </w:r>
      <w:r w:rsidR="00F5302F">
        <w:rPr>
          <w:rStyle w:val="Emphasis"/>
          <w:i w:val="0"/>
        </w:rPr>
        <w:t xml:space="preserve"> of 0.513 ppb, </w:t>
      </w:r>
      <w:r w:rsidR="008C08DD">
        <w:rPr>
          <w:rStyle w:val="Emphasis"/>
          <w:i w:val="0"/>
        </w:rPr>
        <w:t xml:space="preserve">consisting entirely of the </w:t>
      </w:r>
      <w:r>
        <w:rPr>
          <w:rStyle w:val="Emphasis"/>
          <w:i w:val="0"/>
        </w:rPr>
        <w:t>PCB-15</w:t>
      </w:r>
      <w:r w:rsidR="008C08DD">
        <w:rPr>
          <w:rStyle w:val="Emphasis"/>
          <w:i w:val="0"/>
        </w:rPr>
        <w:t xml:space="preserve"> congener</w:t>
      </w:r>
      <w:r>
        <w:rPr>
          <w:rStyle w:val="Emphasis"/>
          <w:i w:val="0"/>
        </w:rPr>
        <w:t xml:space="preserve">.  </w:t>
      </w:r>
    </w:p>
    <w:p w:rsidR="004E6312" w:rsidRPr="00852E97" w:rsidRDefault="004E6312" w:rsidP="004E6312">
      <w:pPr>
        <w:pStyle w:val="Heading3"/>
        <w:rPr>
          <w:rStyle w:val="Emphasis"/>
          <w:i w:val="0"/>
          <w:iCs w:val="0"/>
        </w:rPr>
      </w:pPr>
      <w:r w:rsidRPr="00852E97">
        <w:rPr>
          <w:rStyle w:val="Emphasis"/>
          <w:i w:val="0"/>
          <w:iCs w:val="0"/>
        </w:rPr>
        <w:t>Dye</w:t>
      </w:r>
    </w:p>
    <w:p w:rsidR="004E6312" w:rsidRDefault="009271CA" w:rsidP="004E6312">
      <w:pPr>
        <w:spacing w:after="240"/>
        <w:rPr>
          <w:rStyle w:val="Emphasis"/>
          <w:i w:val="0"/>
        </w:rPr>
      </w:pPr>
      <w:r>
        <w:rPr>
          <w:rStyle w:val="Emphasis"/>
          <w:i w:val="0"/>
        </w:rPr>
        <w:t xml:space="preserve">Product #1, 2 and #3 dye samples all contained </w:t>
      </w:r>
      <w:r w:rsidRPr="009271CA">
        <w:rPr>
          <w:rStyle w:val="Emphasis"/>
          <w:i w:val="0"/>
        </w:rPr>
        <w:t>detectable PCB</w:t>
      </w:r>
      <w:r>
        <w:rPr>
          <w:rStyle w:val="Emphasis"/>
          <w:i w:val="0"/>
        </w:rPr>
        <w:t>s above the reporting threshold, varying from 0.6 to 2.1 ppb.  All</w:t>
      </w:r>
      <w:r w:rsidR="004E6312">
        <w:rPr>
          <w:rStyle w:val="Emphasis"/>
          <w:i w:val="0"/>
        </w:rPr>
        <w:t xml:space="preserve"> three dye samples </w:t>
      </w:r>
      <w:r>
        <w:rPr>
          <w:rStyle w:val="Emphasis"/>
          <w:i w:val="0"/>
        </w:rPr>
        <w:t xml:space="preserve">with detectable PCBs </w:t>
      </w:r>
      <w:r w:rsidR="004E6312">
        <w:rPr>
          <w:rStyle w:val="Emphasis"/>
          <w:i w:val="0"/>
        </w:rPr>
        <w:t xml:space="preserve">were entirely composed of </w:t>
      </w:r>
      <w:r>
        <w:rPr>
          <w:rStyle w:val="Emphasis"/>
          <w:i w:val="0"/>
        </w:rPr>
        <w:t xml:space="preserve">the </w:t>
      </w:r>
      <w:r w:rsidR="004E6312">
        <w:rPr>
          <w:rStyle w:val="Emphasis"/>
          <w:i w:val="0"/>
        </w:rPr>
        <w:t>PCB-209</w:t>
      </w:r>
      <w:r>
        <w:rPr>
          <w:rStyle w:val="Emphasis"/>
          <w:i w:val="0"/>
        </w:rPr>
        <w:t xml:space="preserve"> congener that </w:t>
      </w:r>
      <w:r w:rsidR="004E6312">
        <w:rPr>
          <w:rStyle w:val="Emphasis"/>
          <w:i w:val="0"/>
        </w:rPr>
        <w:t xml:space="preserve">has been associated with green pigments.  In the City’s recent PCB sampling study, PCB-209 was detected in green utility marking paint, yellow and white road paint, and PVC pipe, which has a blue-green color.  </w:t>
      </w:r>
    </w:p>
    <w:p w:rsidR="008264FF" w:rsidRDefault="008264FF" w:rsidP="008264FF">
      <w:pPr>
        <w:pStyle w:val="Heading3"/>
        <w:rPr>
          <w:rStyle w:val="Emphasis"/>
          <w:i w:val="0"/>
        </w:rPr>
      </w:pPr>
      <w:r>
        <w:rPr>
          <w:rStyle w:val="Emphasis"/>
          <w:i w:val="0"/>
        </w:rPr>
        <w:t>Tackifier</w:t>
      </w:r>
    </w:p>
    <w:p w:rsidR="00D737CF" w:rsidRDefault="00D737CF" w:rsidP="00D737CF">
      <w:pPr>
        <w:rPr>
          <w:rStyle w:val="Emphasis"/>
          <w:i w:val="0"/>
        </w:rPr>
      </w:pPr>
      <w:r>
        <w:rPr>
          <w:rStyle w:val="Emphasis"/>
          <w:i w:val="0"/>
        </w:rPr>
        <w:t xml:space="preserve">Most of the tackifiers supplied for analysis did not contain detectable PCBs </w:t>
      </w:r>
      <w:r w:rsidR="009271CA" w:rsidRPr="009271CA">
        <w:rPr>
          <w:rStyle w:val="Emphasis"/>
          <w:i w:val="0"/>
        </w:rPr>
        <w:t xml:space="preserve">above the reporting threshold </w:t>
      </w:r>
      <w:r>
        <w:rPr>
          <w:rStyle w:val="Emphasis"/>
          <w:i w:val="0"/>
        </w:rPr>
        <w:t xml:space="preserve">with the exception of Tackifier #2 from Product #2.  Unlike the other samples, a variety of different congeners were detected.   The homologue pattern for Product #2 Tackifier #2 is shown </w:t>
      </w:r>
      <w:r w:rsidR="00F5302F">
        <w:rPr>
          <w:rStyle w:val="Emphasis"/>
          <w:i w:val="0"/>
        </w:rPr>
        <w:t xml:space="preserve">in Chart 1 </w:t>
      </w:r>
      <w:r>
        <w:rPr>
          <w:rStyle w:val="Emphasis"/>
          <w:i w:val="0"/>
        </w:rPr>
        <w:t xml:space="preserve">below.  Homologues are groups of congeners with the same level of chlorination.  </w:t>
      </w:r>
    </w:p>
    <w:p w:rsidR="00F5302F" w:rsidRDefault="00F5302F" w:rsidP="00F5302F">
      <w:pPr>
        <w:jc w:val="center"/>
        <w:rPr>
          <w:rStyle w:val="SubtleEmphasis"/>
        </w:rPr>
      </w:pPr>
    </w:p>
    <w:p w:rsidR="00F5302F" w:rsidRDefault="00F5302F" w:rsidP="00F5302F">
      <w:pPr>
        <w:jc w:val="center"/>
        <w:rPr>
          <w:rStyle w:val="SubtleEmphasis"/>
        </w:rPr>
      </w:pPr>
    </w:p>
    <w:p w:rsidR="00F5302F" w:rsidRDefault="00F5302F" w:rsidP="00F5302F">
      <w:pPr>
        <w:jc w:val="center"/>
        <w:rPr>
          <w:rStyle w:val="SubtleEmphasis"/>
        </w:rPr>
      </w:pPr>
    </w:p>
    <w:p w:rsidR="00F5302F" w:rsidRDefault="00F5302F" w:rsidP="00F5302F">
      <w:pPr>
        <w:jc w:val="center"/>
        <w:rPr>
          <w:rStyle w:val="SubtleEmphasis"/>
        </w:rPr>
      </w:pPr>
    </w:p>
    <w:p w:rsidR="00F5302F" w:rsidRDefault="00F5302F" w:rsidP="00F5302F">
      <w:pPr>
        <w:jc w:val="center"/>
        <w:rPr>
          <w:rStyle w:val="SubtleEmphasis"/>
        </w:rPr>
      </w:pPr>
    </w:p>
    <w:p w:rsidR="00F5302F" w:rsidRDefault="00F5302F" w:rsidP="00F5302F">
      <w:pPr>
        <w:jc w:val="center"/>
        <w:rPr>
          <w:rStyle w:val="SubtleEmphasis"/>
        </w:rPr>
      </w:pPr>
    </w:p>
    <w:p w:rsidR="00F5302F" w:rsidRDefault="00F5302F" w:rsidP="00F5302F">
      <w:pPr>
        <w:jc w:val="center"/>
        <w:rPr>
          <w:rStyle w:val="SubtleEmphasis"/>
        </w:rPr>
      </w:pPr>
    </w:p>
    <w:p w:rsidR="00F5302F" w:rsidRPr="004C14E1" w:rsidRDefault="00F5302F" w:rsidP="00F5302F">
      <w:pPr>
        <w:jc w:val="center"/>
        <w:rPr>
          <w:rStyle w:val="SubtleEmphasis"/>
        </w:rPr>
      </w:pPr>
      <w:r>
        <w:rPr>
          <w:rStyle w:val="SubtleEmphasis"/>
        </w:rPr>
        <w:t>Chart 1 – Homologue Pattern of Tackifier #2 from Product #2</w:t>
      </w:r>
    </w:p>
    <w:p w:rsidR="00F5302F" w:rsidRDefault="00F5302F" w:rsidP="00D737CF">
      <w:pPr>
        <w:rPr>
          <w:rStyle w:val="Emphasis"/>
          <w:i w:val="0"/>
        </w:rPr>
      </w:pPr>
    </w:p>
    <w:p w:rsidR="002A5194" w:rsidRDefault="00D737CF" w:rsidP="00010991">
      <w:pPr>
        <w:jc w:val="center"/>
      </w:pPr>
      <w:r w:rsidRPr="00D737CF">
        <w:rPr>
          <w:rStyle w:val="Emphasis"/>
          <w:i w:val="0"/>
          <w:noProof/>
        </w:rPr>
        <w:drawing>
          <wp:inline distT="0" distB="0" distL="0" distR="0">
            <wp:extent cx="2838450" cy="2800350"/>
            <wp:effectExtent l="0" t="0" r="19050" b="190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2A5194" w:rsidRPr="002A5194">
        <w:t xml:space="preserve"> </w:t>
      </w:r>
    </w:p>
    <w:p w:rsidR="002A5194" w:rsidRDefault="002A5194" w:rsidP="00010991">
      <w:pPr>
        <w:jc w:val="center"/>
      </w:pPr>
    </w:p>
    <w:p w:rsidR="00B46BB3" w:rsidRDefault="002A5194" w:rsidP="002A5194">
      <w:pPr>
        <w:rPr>
          <w:rStyle w:val="Emphasis"/>
          <w:rFonts w:ascii="Cambria" w:eastAsia="Times New Roman" w:hAnsi="Cambria"/>
          <w:b/>
          <w:bCs/>
          <w:i w:val="0"/>
          <w:kern w:val="32"/>
          <w:sz w:val="32"/>
          <w:szCs w:val="32"/>
        </w:rPr>
      </w:pPr>
      <w:r w:rsidRPr="002A5194">
        <w:rPr>
          <w:rStyle w:val="Emphasis"/>
          <w:i w:val="0"/>
        </w:rPr>
        <w:t>The Axys data package also included quantification of Aroclors</w:t>
      </w:r>
      <w:r>
        <w:rPr>
          <w:rStyle w:val="Emphasis"/>
          <w:i w:val="0"/>
        </w:rPr>
        <w:t xml:space="preserve"> which are trade names for historical commercial mixtures of PCBs.  </w:t>
      </w:r>
      <w:r w:rsidRPr="002A5194">
        <w:rPr>
          <w:rStyle w:val="Emphasis"/>
          <w:i w:val="0"/>
        </w:rPr>
        <w:t xml:space="preserve">Tackifier #2 </w:t>
      </w:r>
      <w:r>
        <w:rPr>
          <w:rStyle w:val="Emphasis"/>
          <w:i w:val="0"/>
        </w:rPr>
        <w:t xml:space="preserve">in Product #2 </w:t>
      </w:r>
      <w:r w:rsidRPr="002A5194">
        <w:rPr>
          <w:rStyle w:val="Emphasis"/>
          <w:i w:val="0"/>
        </w:rPr>
        <w:t>had a detection of Aroclor 1242 at a concentration of 5.56 ppb.  Note that Arochlor</w:t>
      </w:r>
      <w:r>
        <w:rPr>
          <w:rStyle w:val="Emphasis"/>
          <w:i w:val="0"/>
        </w:rPr>
        <w:t>s</w:t>
      </w:r>
      <w:r w:rsidRPr="002A5194">
        <w:rPr>
          <w:rStyle w:val="Emphasis"/>
          <w:i w:val="0"/>
        </w:rPr>
        <w:t xml:space="preserve"> are calculated differently</w:t>
      </w:r>
      <w:r>
        <w:rPr>
          <w:rStyle w:val="Emphasis"/>
          <w:i w:val="0"/>
        </w:rPr>
        <w:t xml:space="preserve"> than Total PCBs, thus the difference in values.  </w:t>
      </w:r>
      <w:r w:rsidRPr="002A5194">
        <w:rPr>
          <w:rStyle w:val="Emphasis"/>
          <w:i w:val="0"/>
        </w:rPr>
        <w:t xml:space="preserve"> </w:t>
      </w:r>
      <w:r>
        <w:rPr>
          <w:rStyle w:val="Emphasis"/>
          <w:i w:val="0"/>
        </w:rPr>
        <w:t>This wa</w:t>
      </w:r>
      <w:r w:rsidRPr="002A5194">
        <w:rPr>
          <w:rStyle w:val="Emphasis"/>
          <w:i w:val="0"/>
        </w:rPr>
        <w:t xml:space="preserve">s the only Aroclor detection in the </w:t>
      </w:r>
      <w:r>
        <w:rPr>
          <w:rStyle w:val="Emphasis"/>
          <w:i w:val="0"/>
        </w:rPr>
        <w:t xml:space="preserve">entire </w:t>
      </w:r>
      <w:r w:rsidRPr="002A5194">
        <w:rPr>
          <w:rStyle w:val="Emphasis"/>
          <w:i w:val="0"/>
        </w:rPr>
        <w:t xml:space="preserve">dataset.  </w:t>
      </w:r>
      <w:r w:rsidR="00B46BB3">
        <w:rPr>
          <w:rStyle w:val="Emphasis"/>
          <w:i w:val="0"/>
        </w:rPr>
        <w:br w:type="page"/>
      </w:r>
    </w:p>
    <w:p w:rsidR="00B46BB3" w:rsidRDefault="00B46BB3" w:rsidP="00B46BB3">
      <w:pPr>
        <w:pStyle w:val="Heading1"/>
        <w:rPr>
          <w:rStyle w:val="Emphasis"/>
          <w:i w:val="0"/>
        </w:rPr>
      </w:pPr>
      <w:r>
        <w:rPr>
          <w:rStyle w:val="Emphasis"/>
          <w:i w:val="0"/>
        </w:rPr>
        <w:t>Conclusions and Recommendations</w:t>
      </w:r>
    </w:p>
    <w:p w:rsidR="007E4AFF" w:rsidRDefault="00B028C9" w:rsidP="00B46BB3">
      <w:pPr>
        <w:rPr>
          <w:rStyle w:val="Emphasis"/>
          <w:i w:val="0"/>
        </w:rPr>
      </w:pPr>
      <w:r w:rsidRPr="00B028C9">
        <w:rPr>
          <w:rStyle w:val="Emphasis"/>
          <w:i w:val="0"/>
        </w:rPr>
        <w:t>This study should be considered an initial screening procedure of the various Hydroseed matrices.  It is recommended that additional testing be conducted to further substantiate the results prior to implementation of any decisions on product selection or product modifications.</w:t>
      </w:r>
      <w:r w:rsidR="007E4AFF">
        <w:rPr>
          <w:rStyle w:val="Emphasis"/>
          <w:i w:val="0"/>
        </w:rPr>
        <w:t xml:space="preserve">  </w:t>
      </w:r>
      <w:r w:rsidRPr="00B028C9">
        <w:rPr>
          <w:rStyle w:val="Emphasis"/>
          <w:i w:val="0"/>
        </w:rPr>
        <w:t xml:space="preserve">  </w:t>
      </w:r>
    </w:p>
    <w:p w:rsidR="007E4AFF" w:rsidRDefault="00B028C9" w:rsidP="00B46BB3">
      <w:pPr>
        <w:rPr>
          <w:rStyle w:val="Emphasis"/>
          <w:i w:val="0"/>
        </w:rPr>
      </w:pPr>
      <w:r>
        <w:rPr>
          <w:rStyle w:val="Emphasis"/>
          <w:i w:val="0"/>
        </w:rPr>
        <w:t>As stated in the Project Description, t</w:t>
      </w:r>
      <w:r w:rsidRPr="00B028C9">
        <w:rPr>
          <w:rStyle w:val="Emphasis"/>
          <w:i w:val="0"/>
        </w:rPr>
        <w:t xml:space="preserve">he purpose of this study was to confirm the elevated levels observed from the City’s original analysis and to identify specific component(s) that may be contributing to these elevated levels.  </w:t>
      </w:r>
      <w:r w:rsidR="003C53B4">
        <w:rPr>
          <w:rStyle w:val="Emphasis"/>
          <w:i w:val="0"/>
        </w:rPr>
        <w:t xml:space="preserve">Samples from the SRRTTF dataset </w:t>
      </w:r>
      <w:r w:rsidR="00752C21">
        <w:rPr>
          <w:rStyle w:val="Emphasis"/>
          <w:i w:val="0"/>
        </w:rPr>
        <w:t xml:space="preserve">were unable to confirm the elevated levels of PCBs found by the city of Spokane’s previous analysis of </w:t>
      </w:r>
      <w:r w:rsidR="00752C21" w:rsidRPr="00752C21">
        <w:rPr>
          <w:rStyle w:val="Emphasis"/>
          <w:i w:val="0"/>
        </w:rPr>
        <w:t>Nature’s Own Hydroseed manufac</w:t>
      </w:r>
      <w:r w:rsidR="00752C21">
        <w:rPr>
          <w:rStyle w:val="Emphasis"/>
          <w:i w:val="0"/>
        </w:rPr>
        <w:t>tured by Hamilton Manufacturing,</w:t>
      </w:r>
      <w:r w:rsidR="00752C21" w:rsidRPr="00752C21">
        <w:rPr>
          <w:rStyle w:val="Emphasis"/>
          <w:i w:val="0"/>
        </w:rPr>
        <w:t xml:space="preserve"> Inc. </w:t>
      </w:r>
      <w:r w:rsidR="003C53B4">
        <w:rPr>
          <w:rStyle w:val="Emphasis"/>
          <w:i w:val="0"/>
        </w:rPr>
        <w:t xml:space="preserve"> </w:t>
      </w:r>
      <w:r w:rsidR="007E4AFF">
        <w:rPr>
          <w:rStyle w:val="Emphasis"/>
          <w:i w:val="0"/>
        </w:rPr>
        <w:t xml:space="preserve">The orders of magnitude difference between the City’s original test </w:t>
      </w:r>
      <w:r w:rsidR="00F5302F">
        <w:rPr>
          <w:rStyle w:val="Emphasis"/>
          <w:i w:val="0"/>
        </w:rPr>
        <w:t xml:space="preserve">results </w:t>
      </w:r>
      <w:r w:rsidR="007E4AFF">
        <w:rPr>
          <w:rStyle w:val="Emphasis"/>
          <w:i w:val="0"/>
        </w:rPr>
        <w:t>and that of this study demonstrates why additional confirmatory testing is required prior to making purchasing decisions.</w:t>
      </w:r>
      <w:r w:rsidR="00F5302F">
        <w:rPr>
          <w:rStyle w:val="Emphasis"/>
          <w:i w:val="0"/>
        </w:rPr>
        <w:t xml:space="preserve">  There are many variables that can affect the overall results and consistency of those results, such as:  product variations, contamination during product handling and sampling, laboratory error, etc. </w:t>
      </w:r>
    </w:p>
    <w:p w:rsidR="00E407BF" w:rsidRDefault="00A314C4" w:rsidP="00B46BB3">
      <w:pPr>
        <w:rPr>
          <w:rStyle w:val="Emphasis"/>
          <w:i w:val="0"/>
        </w:rPr>
      </w:pPr>
      <w:r>
        <w:rPr>
          <w:rStyle w:val="Emphasis"/>
          <w:i w:val="0"/>
        </w:rPr>
        <w:t>However,</w:t>
      </w:r>
      <w:r w:rsidR="00D94D6D">
        <w:rPr>
          <w:rStyle w:val="Emphasis"/>
          <w:i w:val="0"/>
        </w:rPr>
        <w:t xml:space="preserve"> this study does indicate that PCBs are commonly detected in </w:t>
      </w:r>
      <w:r w:rsidR="002A5194">
        <w:rPr>
          <w:rStyle w:val="Emphasis"/>
          <w:i w:val="0"/>
        </w:rPr>
        <w:t>Hydroseed</w:t>
      </w:r>
      <w:r w:rsidR="00752C21">
        <w:rPr>
          <w:rStyle w:val="Emphasis"/>
          <w:i w:val="0"/>
        </w:rPr>
        <w:t xml:space="preserve">, particularly in the dye, </w:t>
      </w:r>
      <w:r w:rsidR="00D94D6D">
        <w:rPr>
          <w:rStyle w:val="Emphasis"/>
          <w:i w:val="0"/>
        </w:rPr>
        <w:t>some</w:t>
      </w:r>
      <w:r w:rsidR="00752C21">
        <w:rPr>
          <w:rStyle w:val="Emphasis"/>
          <w:i w:val="0"/>
        </w:rPr>
        <w:t xml:space="preserve"> base materials and tackifiers.  </w:t>
      </w:r>
      <w:r w:rsidR="00D94D6D">
        <w:rPr>
          <w:rStyle w:val="Emphasis"/>
          <w:i w:val="0"/>
        </w:rPr>
        <w:t xml:space="preserve"> Because of the consistent PCB concentration in the dyes, </w:t>
      </w:r>
      <w:r w:rsidR="007E4AFF">
        <w:rPr>
          <w:rStyle w:val="Emphasis"/>
          <w:i w:val="0"/>
        </w:rPr>
        <w:t xml:space="preserve">it is recommended that the State of Washington consider </w:t>
      </w:r>
      <w:r w:rsidR="00D94D6D">
        <w:rPr>
          <w:rStyle w:val="Emphasis"/>
          <w:i w:val="0"/>
        </w:rPr>
        <w:t xml:space="preserve">the potential for dye-free </w:t>
      </w:r>
      <w:r w:rsidR="002A5194">
        <w:rPr>
          <w:rStyle w:val="Emphasis"/>
          <w:i w:val="0"/>
        </w:rPr>
        <w:t>Hydroseed</w:t>
      </w:r>
      <w:r w:rsidR="00D94D6D">
        <w:rPr>
          <w:rStyle w:val="Emphasis"/>
          <w:i w:val="0"/>
        </w:rPr>
        <w:t xml:space="preserve"> application.</w:t>
      </w:r>
      <w:r w:rsidR="00E407BF">
        <w:rPr>
          <w:rStyle w:val="Emphasis"/>
          <w:i w:val="0"/>
        </w:rPr>
        <w:t xml:space="preserve"> However, </w:t>
      </w:r>
      <w:r w:rsidR="007E4AFF">
        <w:rPr>
          <w:rStyle w:val="Emphasis"/>
          <w:i w:val="0"/>
        </w:rPr>
        <w:t xml:space="preserve">as suggested above </w:t>
      </w:r>
      <w:r w:rsidR="00E407BF">
        <w:rPr>
          <w:rStyle w:val="Emphasis"/>
          <w:i w:val="0"/>
        </w:rPr>
        <w:t xml:space="preserve">additional product testing </w:t>
      </w:r>
      <w:r w:rsidR="007E4AFF">
        <w:rPr>
          <w:rStyle w:val="Emphasis"/>
          <w:i w:val="0"/>
        </w:rPr>
        <w:t>should be performed</w:t>
      </w:r>
      <w:r w:rsidR="00E407BF">
        <w:rPr>
          <w:rStyle w:val="Emphasis"/>
          <w:i w:val="0"/>
        </w:rPr>
        <w:t xml:space="preserve"> to provide support for changes to materials standard specifications. </w:t>
      </w:r>
      <w:r w:rsidR="00D94D6D">
        <w:rPr>
          <w:rStyle w:val="Emphasis"/>
          <w:i w:val="0"/>
        </w:rPr>
        <w:t xml:space="preserve">  An alternative may be to further research the type of dye used in Product #4, which did not have detectable PCB concentrations per Method MLA-007.  It should be determined if this dye is in fact different than the other three dye products, and what the concentration</w:t>
      </w:r>
      <w:r w:rsidR="001A3B4F">
        <w:rPr>
          <w:rStyle w:val="Emphasis"/>
          <w:i w:val="0"/>
        </w:rPr>
        <w:t>s are</w:t>
      </w:r>
      <w:r w:rsidR="00D94D6D">
        <w:rPr>
          <w:rStyle w:val="Emphasis"/>
          <w:i w:val="0"/>
        </w:rPr>
        <w:t xml:space="preserve"> using </w:t>
      </w:r>
      <w:r w:rsidR="003B53B9">
        <w:rPr>
          <w:rStyle w:val="Emphasis"/>
          <w:i w:val="0"/>
        </w:rPr>
        <w:t>more sensitive procedure</w:t>
      </w:r>
      <w:r w:rsidR="001A3B4F">
        <w:rPr>
          <w:rStyle w:val="Emphasis"/>
          <w:i w:val="0"/>
        </w:rPr>
        <w:t>s</w:t>
      </w:r>
      <w:r w:rsidR="003B53B9">
        <w:rPr>
          <w:rStyle w:val="Emphasis"/>
          <w:i w:val="0"/>
        </w:rPr>
        <w:t xml:space="preserve"> such as </w:t>
      </w:r>
      <w:r w:rsidR="00D94D6D">
        <w:rPr>
          <w:rStyle w:val="Emphasis"/>
          <w:i w:val="0"/>
        </w:rPr>
        <w:t xml:space="preserve">EPA Method 1668. </w:t>
      </w:r>
    </w:p>
    <w:p w:rsidR="00CF27F0" w:rsidRDefault="00E407BF" w:rsidP="00B46BB3">
      <w:pPr>
        <w:rPr>
          <w:rStyle w:val="Emphasis"/>
          <w:i w:val="0"/>
        </w:rPr>
      </w:pPr>
      <w:r>
        <w:rPr>
          <w:rStyle w:val="Emphasis"/>
          <w:i w:val="0"/>
        </w:rPr>
        <w:t xml:space="preserve">Another approach to using this data would be to investigate why Product #2 and Product #4 </w:t>
      </w:r>
      <w:r w:rsidR="008A11E9">
        <w:rPr>
          <w:rStyle w:val="Emphasis"/>
          <w:i w:val="0"/>
        </w:rPr>
        <w:t xml:space="preserve">Finished Products </w:t>
      </w:r>
      <w:r>
        <w:rPr>
          <w:rStyle w:val="Emphasis"/>
          <w:i w:val="0"/>
        </w:rPr>
        <w:t>have lower PCB</w:t>
      </w:r>
      <w:r w:rsidR="008A11E9">
        <w:rPr>
          <w:rStyle w:val="Emphasis"/>
          <w:i w:val="0"/>
        </w:rPr>
        <w:t xml:space="preserve"> detection limits.  T</w:t>
      </w:r>
      <w:r>
        <w:rPr>
          <w:rStyle w:val="Emphasis"/>
          <w:i w:val="0"/>
        </w:rPr>
        <w:t xml:space="preserve">his </w:t>
      </w:r>
      <w:r w:rsidR="008A11E9">
        <w:rPr>
          <w:rStyle w:val="Emphasis"/>
          <w:i w:val="0"/>
        </w:rPr>
        <w:t xml:space="preserve">may be </w:t>
      </w:r>
      <w:r>
        <w:rPr>
          <w:rStyle w:val="Emphasis"/>
          <w:i w:val="0"/>
        </w:rPr>
        <w:t xml:space="preserve">a result </w:t>
      </w:r>
      <w:r w:rsidR="008A11E9">
        <w:rPr>
          <w:rStyle w:val="Emphasis"/>
          <w:i w:val="0"/>
        </w:rPr>
        <w:t>of</w:t>
      </w:r>
      <w:r>
        <w:rPr>
          <w:rStyle w:val="Emphasis"/>
          <w:i w:val="0"/>
        </w:rPr>
        <w:t xml:space="preserve"> using unique ingredients</w:t>
      </w:r>
      <w:r w:rsidR="008A11E9">
        <w:rPr>
          <w:rStyle w:val="Emphasis"/>
          <w:i w:val="0"/>
        </w:rPr>
        <w:t xml:space="preserve">, or </w:t>
      </w:r>
      <w:r>
        <w:rPr>
          <w:rStyle w:val="Emphasis"/>
          <w:i w:val="0"/>
        </w:rPr>
        <w:t xml:space="preserve">manufacturing differences, such as process or location. </w:t>
      </w:r>
    </w:p>
    <w:p w:rsidR="00D94D6D" w:rsidRDefault="00A02207" w:rsidP="00B46BB3">
      <w:pPr>
        <w:rPr>
          <w:rStyle w:val="Emphasis"/>
          <w:i w:val="0"/>
        </w:rPr>
      </w:pPr>
      <w:r>
        <w:rPr>
          <w:rStyle w:val="Emphasis"/>
          <w:i w:val="0"/>
        </w:rPr>
        <w:t xml:space="preserve">Tackifier #2 in Product #2 had detectable levels of Aroclor 1242 at significant concentrations relative to </w:t>
      </w:r>
      <w:r w:rsidR="008A11E9">
        <w:rPr>
          <w:rStyle w:val="Emphasis"/>
          <w:i w:val="0"/>
        </w:rPr>
        <w:t xml:space="preserve">the </w:t>
      </w:r>
      <w:r>
        <w:rPr>
          <w:rStyle w:val="Emphasis"/>
          <w:i w:val="0"/>
        </w:rPr>
        <w:t xml:space="preserve">water quality standards.  </w:t>
      </w:r>
      <w:r w:rsidR="008A11E9">
        <w:rPr>
          <w:rStyle w:val="Emphasis"/>
          <w:i w:val="0"/>
        </w:rPr>
        <w:t xml:space="preserve">After confirmatory testing, </w:t>
      </w:r>
      <w:r>
        <w:rPr>
          <w:rStyle w:val="Emphasis"/>
          <w:i w:val="0"/>
        </w:rPr>
        <w:t xml:space="preserve">the manufacturer of Product #2 </w:t>
      </w:r>
      <w:r w:rsidR="002C41CF">
        <w:rPr>
          <w:rStyle w:val="Emphasis"/>
          <w:i w:val="0"/>
        </w:rPr>
        <w:t xml:space="preserve">should </w:t>
      </w:r>
      <w:r>
        <w:rPr>
          <w:rStyle w:val="Emphasis"/>
          <w:i w:val="0"/>
        </w:rPr>
        <w:t xml:space="preserve">consider using either tackifiers #1 or #3, or </w:t>
      </w:r>
      <w:r w:rsidR="002C41CF">
        <w:rPr>
          <w:rStyle w:val="Emphasis"/>
          <w:i w:val="0"/>
        </w:rPr>
        <w:t>other low-PCB containing</w:t>
      </w:r>
      <w:r>
        <w:rPr>
          <w:rStyle w:val="Emphasis"/>
          <w:i w:val="0"/>
        </w:rPr>
        <w:t xml:space="preserve"> tackifiers used by the </w:t>
      </w:r>
      <w:r w:rsidR="002C41CF">
        <w:rPr>
          <w:rStyle w:val="Emphasis"/>
          <w:i w:val="0"/>
        </w:rPr>
        <w:t>industry</w:t>
      </w:r>
      <w:r>
        <w:rPr>
          <w:rStyle w:val="Emphasis"/>
          <w:i w:val="0"/>
        </w:rPr>
        <w:t xml:space="preserve">.  </w:t>
      </w:r>
      <w:r w:rsidR="00D94D6D">
        <w:rPr>
          <w:rStyle w:val="Emphasis"/>
          <w:i w:val="0"/>
        </w:rPr>
        <w:t xml:space="preserve"> </w:t>
      </w:r>
    </w:p>
    <w:p w:rsidR="00850323" w:rsidRDefault="00850323" w:rsidP="00B46BB3">
      <w:pPr>
        <w:rPr>
          <w:rStyle w:val="Emphasis"/>
          <w:i w:val="0"/>
        </w:rPr>
      </w:pPr>
    </w:p>
    <w:p w:rsidR="00850323" w:rsidRDefault="00850323" w:rsidP="00B46BB3">
      <w:pPr>
        <w:rPr>
          <w:rStyle w:val="Emphasis"/>
          <w:i w:val="0"/>
        </w:rPr>
      </w:pPr>
    </w:p>
    <w:p w:rsidR="00850323" w:rsidRDefault="00850323" w:rsidP="00B46BB3">
      <w:pPr>
        <w:rPr>
          <w:rStyle w:val="Emphasis"/>
          <w:i w:val="0"/>
        </w:rPr>
      </w:pPr>
    </w:p>
    <w:p w:rsidR="00850323" w:rsidRDefault="00850323" w:rsidP="00B46BB3">
      <w:pPr>
        <w:rPr>
          <w:rStyle w:val="Emphasis"/>
          <w:i w:val="0"/>
        </w:rPr>
      </w:pPr>
    </w:p>
    <w:p w:rsidR="00850323" w:rsidRDefault="00850323" w:rsidP="00B46BB3">
      <w:pPr>
        <w:rPr>
          <w:rStyle w:val="Emphasis"/>
          <w:i w:val="0"/>
        </w:rPr>
      </w:pPr>
    </w:p>
    <w:p w:rsidR="00850323" w:rsidRDefault="00850323" w:rsidP="00B46BB3">
      <w:pPr>
        <w:rPr>
          <w:rStyle w:val="Emphasis"/>
          <w:i w:val="0"/>
        </w:rPr>
      </w:pPr>
    </w:p>
    <w:p w:rsidR="00850323" w:rsidRDefault="00850323" w:rsidP="00B46BB3">
      <w:pPr>
        <w:rPr>
          <w:rStyle w:val="Emphasis"/>
          <w:i w:val="0"/>
        </w:rPr>
      </w:pPr>
      <w:bookmarkStart w:id="0" w:name="_GoBack"/>
      <w:bookmarkEnd w:id="0"/>
    </w:p>
    <w:p w:rsidR="00850323" w:rsidRPr="00850323" w:rsidRDefault="002B0D96" w:rsidP="00850323">
      <w:pPr>
        <w:jc w:val="center"/>
        <w:rPr>
          <w:rStyle w:val="Emphasis"/>
          <w:b/>
          <w:i w:val="0"/>
          <w:sz w:val="28"/>
          <w:szCs w:val="28"/>
        </w:rPr>
      </w:pPr>
      <w:r>
        <w:rPr>
          <w:rStyle w:val="Emphasis"/>
          <w:b/>
          <w:i w:val="0"/>
          <w:sz w:val="28"/>
          <w:szCs w:val="28"/>
        </w:rPr>
        <w:t>A</w:t>
      </w:r>
      <w:r w:rsidR="00850323" w:rsidRPr="00850323">
        <w:rPr>
          <w:rStyle w:val="Emphasis"/>
          <w:b/>
          <w:i w:val="0"/>
          <w:sz w:val="28"/>
          <w:szCs w:val="28"/>
        </w:rPr>
        <w:t>ppendix A</w:t>
      </w:r>
    </w:p>
    <w:p w:rsidR="00850323" w:rsidRPr="00DF6609" w:rsidRDefault="00850323" w:rsidP="00850323">
      <w:pPr>
        <w:pStyle w:val="Title"/>
        <w:rPr>
          <w:u w:val="thick"/>
        </w:rPr>
      </w:pPr>
      <w:r w:rsidRPr="00DF6609">
        <w:rPr>
          <w:u w:val="thick"/>
        </w:rPr>
        <w:t>PCB Product Sampling QAPP Addendum</w:t>
      </w:r>
      <w:r w:rsidRPr="00DF6609">
        <w:rPr>
          <w:u w:val="thick"/>
        </w:rPr>
        <w:tab/>
      </w:r>
    </w:p>
    <w:p w:rsidR="00850323" w:rsidRDefault="00850323" w:rsidP="00850323">
      <w:pPr>
        <w:pStyle w:val="Subtitle"/>
      </w:pPr>
      <w:r>
        <w:tab/>
        <w:t xml:space="preserve">Supplemental Product Sampling: Spokane River Regional Toxics Task Force </w:t>
      </w:r>
    </w:p>
    <w:p w:rsidR="00850323" w:rsidRDefault="00850323" w:rsidP="00850323">
      <w:r>
        <w:tab/>
        <w:t>Prepared by City of Spokane Wastewater Management Department</w:t>
      </w:r>
    </w:p>
    <w:p w:rsidR="00850323" w:rsidRDefault="00850323" w:rsidP="00850323">
      <w:r>
        <w:tab/>
        <w:t>March 2015</w:t>
      </w:r>
    </w:p>
    <w:p w:rsidR="00850323" w:rsidRDefault="00850323" w:rsidP="00850323">
      <w:pPr>
        <w:pStyle w:val="Heading2"/>
      </w:pPr>
      <w:r>
        <w:t>Background</w:t>
      </w:r>
    </w:p>
    <w:p w:rsidR="00850323" w:rsidRDefault="00850323" w:rsidP="00850323">
      <w:r>
        <w:t xml:space="preserve">The City of Spokane recently performed PCB product sampling under a Department of Ecology Grant of Regional or Statewide Significance (GRSS), number G1400545.  Product sampling followed the procedures in the approved Quality Assurance Project Plan, Polychlorinated Biphenyls in Municipal Products, prepared by LimnoTech, August 5, 2014.  Additional sampling beyond the scope of the grant will be performed to help further understand the sources and content of PCBs in products.  </w:t>
      </w:r>
    </w:p>
    <w:p w:rsidR="00850323" w:rsidRDefault="00850323" w:rsidP="00850323">
      <w:pPr>
        <w:pStyle w:val="Heading2"/>
      </w:pPr>
      <w:r>
        <w:t>Description of Additional Studies</w:t>
      </w:r>
    </w:p>
    <w:p w:rsidR="00850323" w:rsidRDefault="00850323" w:rsidP="00850323">
      <w:r>
        <w:t xml:space="preserve">The Spokane River Regional Toxics Task Force has authorized studies that supplement the work performed under the City’s GRSS Grant.  The objective of these efforts is to further identify the sources of PCBs in products and components of products.  This work will assist manufacturers in producing lower-PCB alternatives for the State and City to purchase, therefore reducing the amount of PCBs imported to our watersheds.      </w:t>
      </w:r>
    </w:p>
    <w:p w:rsidR="00850323" w:rsidRPr="009D5DDB" w:rsidRDefault="00850323" w:rsidP="00850323">
      <w:r>
        <w:t xml:space="preserve">The first samples to be collected will include various brands of </w:t>
      </w:r>
      <w:r w:rsidR="002A5194">
        <w:t>Hydroseed</w:t>
      </w:r>
      <w:r>
        <w:t xml:space="preserve"> and their associated components.  Some of the components to be sampled will include items such as dye, surfactant, and water used in the manufacturing process.  Other products may be sampled, including items such as tackifiers and different formulations of 2,4-D, as funding allows.      </w:t>
      </w:r>
    </w:p>
    <w:p w:rsidR="00850323" w:rsidRDefault="00850323" w:rsidP="00850323">
      <w:pPr>
        <w:pStyle w:val="Heading2"/>
      </w:pPr>
      <w:r>
        <w:t>Sampling, Measurement, and Quality Control Procedures</w:t>
      </w:r>
    </w:p>
    <w:p w:rsidR="00850323" w:rsidRDefault="00850323" w:rsidP="00850323">
      <w:r>
        <w:t xml:space="preserve">Sampling will be performed by the manufacturer in many cases.  A copy of the QAPP and this addendum will be sent to the sampler to ensure proper collection.  </w:t>
      </w:r>
    </w:p>
    <w:p w:rsidR="00850323" w:rsidRDefault="00850323" w:rsidP="00850323">
      <w:r>
        <w:t xml:space="preserve">The </w:t>
      </w:r>
      <w:r w:rsidRPr="00B55CDC">
        <w:rPr>
          <w:rStyle w:val="IntenseReference"/>
        </w:rPr>
        <w:t xml:space="preserve">Sampling Procedures </w:t>
      </w:r>
      <w:r>
        <w:t>in Section 6 of the QAPP will be followed for sample collection, with the following exceptions:</w:t>
      </w:r>
    </w:p>
    <w:p w:rsidR="00850323" w:rsidRDefault="00850323" w:rsidP="00850323">
      <w:pPr>
        <w:pStyle w:val="ListParagraph"/>
        <w:numPr>
          <w:ilvl w:val="0"/>
          <w:numId w:val="23"/>
        </w:numPr>
        <w:spacing w:line="276" w:lineRule="auto"/>
        <w:contextualSpacing/>
      </w:pPr>
      <w:r>
        <w:t xml:space="preserve">Because manufacturers may not have the standard sampling equipment on hand, the contract laboratory will prepare and ship sampling kits including coolers, sample instructions, gloves, laboratory-prepared sample jars, and chain of custody to the sampler.  </w:t>
      </w:r>
    </w:p>
    <w:p w:rsidR="00850323" w:rsidRDefault="00850323" w:rsidP="00850323">
      <w:pPr>
        <w:pStyle w:val="ListParagraph"/>
        <w:numPr>
          <w:ilvl w:val="0"/>
          <w:numId w:val="23"/>
        </w:numPr>
        <w:spacing w:line="276" w:lineRule="auto"/>
        <w:contextualSpacing/>
      </w:pPr>
      <w:r>
        <w:t>Sample labeling:  Samples will be labeled by the sampler at the time of sample collection using the following format:</w:t>
      </w:r>
    </w:p>
    <w:p w:rsidR="00850323" w:rsidRDefault="00850323" w:rsidP="00850323">
      <w:pPr>
        <w:pStyle w:val="ListParagraph"/>
        <w:numPr>
          <w:ilvl w:val="1"/>
          <w:numId w:val="23"/>
        </w:numPr>
        <w:spacing w:line="276" w:lineRule="auto"/>
        <w:contextualSpacing/>
      </w:pPr>
      <w:r>
        <w:t>Manufacturer ID – Product ID – collection date (MMDDYY) – collection time (military).</w:t>
      </w:r>
    </w:p>
    <w:p w:rsidR="00850323" w:rsidRDefault="00850323" w:rsidP="00850323">
      <w:pPr>
        <w:pStyle w:val="ListParagraph"/>
        <w:numPr>
          <w:ilvl w:val="2"/>
          <w:numId w:val="23"/>
        </w:numPr>
        <w:spacing w:line="276" w:lineRule="auto"/>
        <w:contextualSpacing/>
      </w:pPr>
      <w:r>
        <w:t>Example: XYZ Manufacturing collected a sample of their dye on March 17, 2015 at 3:00 in the afternoon.  The sample would be labeled XYZ-dye-030715-1500</w:t>
      </w:r>
    </w:p>
    <w:p w:rsidR="00850323" w:rsidRDefault="00850323" w:rsidP="00850323">
      <w:pPr>
        <w:pStyle w:val="ListParagraph"/>
        <w:numPr>
          <w:ilvl w:val="2"/>
          <w:numId w:val="23"/>
        </w:numPr>
        <w:spacing w:line="276" w:lineRule="auto"/>
        <w:contextualSpacing/>
      </w:pPr>
      <w:r>
        <w:t xml:space="preserve">The Manufacturer and Product ID codes will be chosen by the sampler and a written description will be sent to the contract laboratory with the samples.  </w:t>
      </w:r>
    </w:p>
    <w:p w:rsidR="00FD7F57" w:rsidRDefault="00850323" w:rsidP="00850323">
      <w:r>
        <w:t xml:space="preserve">  </w:t>
      </w:r>
    </w:p>
    <w:p w:rsidR="00850323" w:rsidRDefault="00850323" w:rsidP="00850323">
      <w:r>
        <w:t xml:space="preserve">The </w:t>
      </w:r>
      <w:r>
        <w:rPr>
          <w:rStyle w:val="IntenseReference"/>
        </w:rPr>
        <w:t>Measurement</w:t>
      </w:r>
      <w:r w:rsidRPr="00B55CDC">
        <w:rPr>
          <w:rStyle w:val="IntenseReference"/>
        </w:rPr>
        <w:t xml:space="preserve"> Procedures </w:t>
      </w:r>
      <w:r>
        <w:t>in Section 7 of the QAPP originally included only EPA Method 1668, which gives results for all 209 PCB congeners to a very low detection limit, but is more costly.  Based on funding and the need for less expensive screening-level testing, sampling for the SRRTTF study may be performed using  EPA Method 8270D  GC/LRMS (EPA, 1994), 8081 modified by EPA 625 (Axys in-house method MLA-007).  This method gives results for the 209 PCB congeners, but at a higher detection limit and lower cost.  The preferred method of analysis will be denoted on the sample chain of custody.  The following tables supplement the associated tables in the QAPP specifying laboratory methods and quality objectives:</w:t>
      </w:r>
    </w:p>
    <w:p w:rsidR="00850323" w:rsidRDefault="00850323" w:rsidP="00850323"/>
    <w:p w:rsidR="00850323" w:rsidRDefault="00850323" w:rsidP="00FD7F57">
      <w:pPr>
        <w:pStyle w:val="Caption"/>
        <w:jc w:val="center"/>
      </w:pPr>
      <w:bookmarkStart w:id="1" w:name="_Toc390774662"/>
      <w:bookmarkStart w:id="2" w:name="_Toc390774668"/>
      <w:r>
        <w:t xml:space="preserve">Supplemented QAPP Table </w:t>
      </w:r>
      <w:r w:rsidR="0017258D">
        <w:fldChar w:fldCharType="begin"/>
      </w:r>
      <w:r w:rsidR="0065471C">
        <w:instrText xml:space="preserve"> SEQ Table \* ARABIC </w:instrText>
      </w:r>
      <w:r w:rsidR="0017258D">
        <w:fldChar w:fldCharType="separate"/>
      </w:r>
      <w:r>
        <w:rPr>
          <w:noProof/>
        </w:rPr>
        <w:t>4</w:t>
      </w:r>
      <w:r w:rsidR="0017258D">
        <w:rPr>
          <w:noProof/>
        </w:rPr>
        <w:fldChar w:fldCharType="end"/>
      </w:r>
      <w:r w:rsidRPr="00754509">
        <w:rPr>
          <w:rFonts w:asciiTheme="majorHAnsi" w:hAnsiTheme="majorHAnsi"/>
          <w:sz w:val="22"/>
          <w:szCs w:val="22"/>
        </w:rPr>
        <w:t xml:space="preserve">. </w:t>
      </w:r>
      <w:r>
        <w:t>Measurement Quality Objectives</w:t>
      </w:r>
      <w:bookmarkEnd w:id="1"/>
    </w:p>
    <w:p w:rsidR="00FD7F57" w:rsidRPr="00FD7F57" w:rsidRDefault="00FD7F57" w:rsidP="00FD7F57"/>
    <w:tbl>
      <w:tblPr>
        <w:tblStyle w:val="LightList-Accent11"/>
        <w:tblW w:w="4944" w:type="pct"/>
        <w:jc w:val="center"/>
        <w:tblInd w:w="41" w:type="dxa"/>
        <w:tblLayout w:type="fixed"/>
        <w:tblLook w:val="04A0"/>
      </w:tblPr>
      <w:tblGrid>
        <w:gridCol w:w="1172"/>
        <w:gridCol w:w="953"/>
        <w:gridCol w:w="1159"/>
        <w:gridCol w:w="1089"/>
        <w:gridCol w:w="1087"/>
        <w:gridCol w:w="1174"/>
        <w:gridCol w:w="1422"/>
        <w:gridCol w:w="1413"/>
      </w:tblGrid>
      <w:tr w:rsidR="00850323" w:rsidRPr="004B334B" w:rsidTr="008D1B46">
        <w:trPr>
          <w:cnfStyle w:val="100000000000"/>
          <w:trHeight w:val="1087"/>
          <w:jc w:val="center"/>
        </w:trPr>
        <w:tc>
          <w:tcPr>
            <w:cnfStyle w:val="001000000000"/>
            <w:tcW w:w="619" w:type="pct"/>
            <w:shd w:val="clear" w:color="auto" w:fill="1F497D" w:themeFill="text2"/>
            <w:vAlign w:val="center"/>
          </w:tcPr>
          <w:p w:rsidR="00850323" w:rsidRPr="001E2734" w:rsidRDefault="00850323" w:rsidP="008D1B46">
            <w:pPr>
              <w:pStyle w:val="BodyText"/>
              <w:spacing w:before="0" w:after="0"/>
              <w:jc w:val="center"/>
              <w:rPr>
                <w:rFonts w:ascii="Arial Narrow" w:hAnsi="Arial Narrow"/>
                <w:sz w:val="18"/>
                <w:szCs w:val="18"/>
              </w:rPr>
            </w:pPr>
            <w:r w:rsidRPr="001E2734">
              <w:rPr>
                <w:rFonts w:ascii="Arial Narrow" w:hAnsi="Arial Narrow"/>
                <w:sz w:val="18"/>
                <w:szCs w:val="18"/>
              </w:rPr>
              <w:t>Analyte</w:t>
            </w:r>
          </w:p>
        </w:tc>
        <w:tc>
          <w:tcPr>
            <w:tcW w:w="503" w:type="pct"/>
            <w:shd w:val="clear" w:color="auto" w:fill="1F497D" w:themeFill="text2"/>
            <w:vAlign w:val="center"/>
          </w:tcPr>
          <w:p w:rsidR="00850323" w:rsidRPr="004B334B" w:rsidRDefault="00850323" w:rsidP="008D1B46">
            <w:pPr>
              <w:pStyle w:val="BodyText"/>
              <w:spacing w:before="0" w:after="0"/>
              <w:jc w:val="center"/>
              <w:cnfStyle w:val="100000000000"/>
              <w:rPr>
                <w:rFonts w:ascii="Arial Narrow" w:hAnsi="Arial Narrow"/>
                <w:sz w:val="18"/>
                <w:szCs w:val="18"/>
              </w:rPr>
            </w:pPr>
            <w:r>
              <w:rPr>
                <w:rFonts w:ascii="Arial Narrow" w:hAnsi="Arial Narrow"/>
                <w:sz w:val="18"/>
                <w:szCs w:val="18"/>
              </w:rPr>
              <w:t>Analytical Method</w:t>
            </w:r>
          </w:p>
        </w:tc>
        <w:tc>
          <w:tcPr>
            <w:tcW w:w="612" w:type="pct"/>
            <w:shd w:val="clear" w:color="auto" w:fill="1F497D" w:themeFill="text2"/>
            <w:vAlign w:val="center"/>
          </w:tcPr>
          <w:p w:rsidR="00850323" w:rsidRPr="004B334B" w:rsidRDefault="00850323" w:rsidP="008D1B46">
            <w:pPr>
              <w:pStyle w:val="BodyText"/>
              <w:spacing w:before="0" w:after="0"/>
              <w:jc w:val="center"/>
              <w:cnfStyle w:val="100000000000"/>
              <w:rPr>
                <w:rFonts w:ascii="Arial Narrow" w:hAnsi="Arial Narrow"/>
                <w:sz w:val="18"/>
                <w:szCs w:val="18"/>
              </w:rPr>
            </w:pPr>
            <w:r>
              <w:rPr>
                <w:rFonts w:ascii="Arial Narrow" w:hAnsi="Arial Narrow"/>
                <w:sz w:val="18"/>
                <w:szCs w:val="18"/>
              </w:rPr>
              <w:t>Daily Calibration Verification</w:t>
            </w:r>
          </w:p>
        </w:tc>
        <w:tc>
          <w:tcPr>
            <w:tcW w:w="575" w:type="pct"/>
            <w:shd w:val="clear" w:color="auto" w:fill="1F497D" w:themeFill="text2"/>
            <w:vAlign w:val="center"/>
          </w:tcPr>
          <w:p w:rsidR="00850323" w:rsidRPr="004B334B" w:rsidRDefault="00850323" w:rsidP="008D1B46">
            <w:pPr>
              <w:pStyle w:val="BodyText"/>
              <w:spacing w:before="0" w:after="0"/>
              <w:jc w:val="center"/>
              <w:cnfStyle w:val="100000000000"/>
              <w:rPr>
                <w:rFonts w:ascii="Arial Narrow" w:hAnsi="Arial Narrow"/>
                <w:sz w:val="18"/>
                <w:szCs w:val="18"/>
              </w:rPr>
            </w:pPr>
            <w:r>
              <w:rPr>
                <w:rFonts w:ascii="Arial Narrow" w:hAnsi="Arial Narrow"/>
                <w:sz w:val="18"/>
                <w:szCs w:val="18"/>
              </w:rPr>
              <w:t>Laboratory Control Samples</w:t>
            </w:r>
          </w:p>
        </w:tc>
        <w:tc>
          <w:tcPr>
            <w:tcW w:w="574" w:type="pct"/>
            <w:shd w:val="clear" w:color="auto" w:fill="1F497D" w:themeFill="text2"/>
            <w:vAlign w:val="center"/>
          </w:tcPr>
          <w:p w:rsidR="00850323" w:rsidRPr="004B334B" w:rsidRDefault="00850323" w:rsidP="008D1B46">
            <w:pPr>
              <w:pStyle w:val="BodyText"/>
              <w:spacing w:before="0" w:after="0"/>
              <w:jc w:val="center"/>
              <w:cnfStyle w:val="100000000000"/>
              <w:rPr>
                <w:rFonts w:ascii="Arial Narrow" w:hAnsi="Arial Narrow"/>
                <w:sz w:val="18"/>
                <w:szCs w:val="18"/>
              </w:rPr>
            </w:pPr>
            <w:r>
              <w:rPr>
                <w:rFonts w:ascii="Arial Narrow" w:hAnsi="Arial Narrow"/>
                <w:sz w:val="18"/>
                <w:szCs w:val="18"/>
              </w:rPr>
              <w:t>Surrogate Recovery</w:t>
            </w:r>
          </w:p>
        </w:tc>
        <w:tc>
          <w:tcPr>
            <w:tcW w:w="620" w:type="pct"/>
            <w:shd w:val="clear" w:color="auto" w:fill="1F497D" w:themeFill="text2"/>
            <w:vAlign w:val="center"/>
          </w:tcPr>
          <w:p w:rsidR="00850323" w:rsidRPr="004B334B" w:rsidRDefault="00850323" w:rsidP="008D1B46">
            <w:pPr>
              <w:pStyle w:val="BodyText"/>
              <w:spacing w:before="0" w:after="0"/>
              <w:jc w:val="center"/>
              <w:cnfStyle w:val="100000000000"/>
              <w:rPr>
                <w:rFonts w:ascii="Arial Narrow" w:hAnsi="Arial Narrow"/>
                <w:sz w:val="18"/>
                <w:szCs w:val="18"/>
              </w:rPr>
            </w:pPr>
            <w:r>
              <w:rPr>
                <w:rFonts w:ascii="Arial Narrow" w:hAnsi="Arial Narrow"/>
                <w:sz w:val="18"/>
                <w:szCs w:val="18"/>
              </w:rPr>
              <w:t>Laboratory Blanks</w:t>
            </w:r>
          </w:p>
        </w:tc>
        <w:tc>
          <w:tcPr>
            <w:tcW w:w="751" w:type="pct"/>
            <w:shd w:val="clear" w:color="auto" w:fill="1F497D" w:themeFill="text2"/>
            <w:vAlign w:val="center"/>
          </w:tcPr>
          <w:p w:rsidR="00850323" w:rsidRPr="004B334B" w:rsidRDefault="00850323" w:rsidP="008D1B46">
            <w:pPr>
              <w:pStyle w:val="BodyText"/>
              <w:spacing w:before="0" w:after="0"/>
              <w:jc w:val="center"/>
              <w:cnfStyle w:val="100000000000"/>
              <w:rPr>
                <w:rFonts w:ascii="Arial Narrow" w:hAnsi="Arial Narrow"/>
                <w:sz w:val="18"/>
                <w:szCs w:val="18"/>
              </w:rPr>
            </w:pPr>
            <w:r>
              <w:rPr>
                <w:rFonts w:ascii="Arial Narrow" w:hAnsi="Arial Narrow"/>
                <w:sz w:val="18"/>
                <w:szCs w:val="18"/>
              </w:rPr>
              <w:t>Laboratory Duplicate</w:t>
            </w:r>
          </w:p>
        </w:tc>
        <w:tc>
          <w:tcPr>
            <w:tcW w:w="746" w:type="pct"/>
            <w:shd w:val="clear" w:color="auto" w:fill="1F497D" w:themeFill="text2"/>
          </w:tcPr>
          <w:p w:rsidR="00850323" w:rsidRDefault="00850323" w:rsidP="008D1B46">
            <w:pPr>
              <w:pStyle w:val="BodyText"/>
              <w:spacing w:before="0" w:after="0"/>
              <w:jc w:val="center"/>
              <w:cnfStyle w:val="100000000000"/>
              <w:rPr>
                <w:rFonts w:ascii="Arial Narrow" w:hAnsi="Arial Narrow"/>
                <w:sz w:val="18"/>
                <w:szCs w:val="18"/>
              </w:rPr>
            </w:pPr>
          </w:p>
          <w:p w:rsidR="00850323" w:rsidRDefault="00850323" w:rsidP="008D1B46">
            <w:pPr>
              <w:pStyle w:val="BodyText"/>
              <w:spacing w:before="0" w:after="0"/>
              <w:jc w:val="center"/>
              <w:cnfStyle w:val="100000000000"/>
              <w:rPr>
                <w:rFonts w:ascii="Arial Narrow" w:hAnsi="Arial Narrow"/>
                <w:sz w:val="18"/>
                <w:szCs w:val="18"/>
              </w:rPr>
            </w:pPr>
          </w:p>
          <w:p w:rsidR="00850323" w:rsidRDefault="00850323" w:rsidP="008D1B46">
            <w:pPr>
              <w:pStyle w:val="BodyText"/>
              <w:spacing w:before="0" w:after="0"/>
              <w:jc w:val="center"/>
              <w:cnfStyle w:val="100000000000"/>
              <w:rPr>
                <w:rFonts w:ascii="Arial Narrow" w:hAnsi="Arial Narrow"/>
                <w:sz w:val="18"/>
                <w:szCs w:val="18"/>
              </w:rPr>
            </w:pPr>
            <w:r>
              <w:rPr>
                <w:rFonts w:ascii="Arial Narrow" w:hAnsi="Arial Narrow"/>
                <w:sz w:val="18"/>
                <w:szCs w:val="18"/>
              </w:rPr>
              <w:t>Sensitivity</w:t>
            </w:r>
          </w:p>
        </w:tc>
      </w:tr>
      <w:tr w:rsidR="00850323" w:rsidRPr="004B334B" w:rsidTr="008D1B46">
        <w:trPr>
          <w:cnfStyle w:val="000000100000"/>
          <w:jc w:val="center"/>
        </w:trPr>
        <w:tc>
          <w:tcPr>
            <w:cnfStyle w:val="001000000000"/>
            <w:tcW w:w="619" w:type="pct"/>
            <w:shd w:val="clear" w:color="auto" w:fill="FFFFFF" w:themeFill="background1"/>
          </w:tcPr>
          <w:p w:rsidR="00850323" w:rsidRPr="004B334B" w:rsidRDefault="00850323" w:rsidP="008D1B46">
            <w:pPr>
              <w:pStyle w:val="BodyText"/>
              <w:spacing w:before="0" w:after="0"/>
              <w:jc w:val="center"/>
              <w:rPr>
                <w:rFonts w:ascii="Arial Narrow" w:hAnsi="Arial Narrow"/>
                <w:sz w:val="18"/>
                <w:szCs w:val="18"/>
              </w:rPr>
            </w:pPr>
          </w:p>
        </w:tc>
        <w:tc>
          <w:tcPr>
            <w:tcW w:w="503" w:type="pct"/>
            <w:shd w:val="clear" w:color="auto" w:fill="FFFFFF" w:themeFill="background1"/>
          </w:tcPr>
          <w:p w:rsidR="00850323" w:rsidRPr="004B334B" w:rsidRDefault="00850323" w:rsidP="008D1B46">
            <w:pPr>
              <w:pStyle w:val="BodyText"/>
              <w:spacing w:before="0" w:after="0"/>
              <w:jc w:val="center"/>
              <w:cnfStyle w:val="000000100000"/>
              <w:rPr>
                <w:rFonts w:ascii="Arial Narrow" w:hAnsi="Arial Narrow"/>
                <w:sz w:val="18"/>
                <w:szCs w:val="18"/>
              </w:rPr>
            </w:pPr>
          </w:p>
        </w:tc>
        <w:tc>
          <w:tcPr>
            <w:tcW w:w="612" w:type="pct"/>
            <w:shd w:val="clear" w:color="auto" w:fill="FFFFFF" w:themeFill="background1"/>
          </w:tcPr>
          <w:p w:rsidR="00850323" w:rsidRPr="004B334B" w:rsidRDefault="00850323" w:rsidP="008D1B46">
            <w:pPr>
              <w:pStyle w:val="BodyText"/>
              <w:spacing w:before="0" w:after="0"/>
              <w:jc w:val="center"/>
              <w:cnfStyle w:val="000000100000"/>
              <w:rPr>
                <w:rFonts w:ascii="Arial Narrow" w:hAnsi="Arial Narrow"/>
                <w:sz w:val="18"/>
                <w:szCs w:val="18"/>
              </w:rPr>
            </w:pPr>
            <w:r w:rsidRPr="004B334B">
              <w:rPr>
                <w:rFonts w:ascii="Arial Narrow" w:hAnsi="Arial Narrow"/>
                <w:sz w:val="18"/>
                <w:szCs w:val="18"/>
              </w:rPr>
              <w:t>% recovery limits</w:t>
            </w:r>
          </w:p>
        </w:tc>
        <w:tc>
          <w:tcPr>
            <w:tcW w:w="575" w:type="pct"/>
            <w:shd w:val="clear" w:color="auto" w:fill="FFFFFF" w:themeFill="background1"/>
          </w:tcPr>
          <w:p w:rsidR="00850323" w:rsidRPr="004B334B" w:rsidRDefault="00850323" w:rsidP="008D1B46">
            <w:pPr>
              <w:pStyle w:val="BodyText"/>
              <w:spacing w:before="0" w:after="0"/>
              <w:jc w:val="center"/>
              <w:cnfStyle w:val="000000100000"/>
              <w:rPr>
                <w:rFonts w:ascii="Arial Narrow" w:hAnsi="Arial Narrow"/>
                <w:sz w:val="18"/>
                <w:szCs w:val="18"/>
              </w:rPr>
            </w:pPr>
            <w:r w:rsidRPr="004B334B">
              <w:rPr>
                <w:rFonts w:ascii="Arial Narrow" w:hAnsi="Arial Narrow"/>
                <w:sz w:val="18"/>
                <w:szCs w:val="18"/>
              </w:rPr>
              <w:t>% recovery limits</w:t>
            </w:r>
          </w:p>
        </w:tc>
        <w:tc>
          <w:tcPr>
            <w:tcW w:w="574" w:type="pct"/>
            <w:shd w:val="clear" w:color="auto" w:fill="FFFFFF" w:themeFill="background1"/>
          </w:tcPr>
          <w:p w:rsidR="00850323" w:rsidRPr="004B334B" w:rsidRDefault="00850323" w:rsidP="008D1B46">
            <w:pPr>
              <w:pStyle w:val="BodyText"/>
              <w:spacing w:before="0" w:after="0"/>
              <w:jc w:val="center"/>
              <w:cnfStyle w:val="000000100000"/>
              <w:rPr>
                <w:rFonts w:ascii="Arial Narrow" w:hAnsi="Arial Narrow"/>
                <w:sz w:val="18"/>
                <w:szCs w:val="18"/>
              </w:rPr>
            </w:pPr>
            <w:r w:rsidRPr="004B334B">
              <w:rPr>
                <w:rFonts w:ascii="Arial Narrow" w:hAnsi="Arial Narrow"/>
                <w:sz w:val="18"/>
                <w:szCs w:val="18"/>
              </w:rPr>
              <w:t>% recovery limits</w:t>
            </w:r>
          </w:p>
        </w:tc>
        <w:tc>
          <w:tcPr>
            <w:tcW w:w="620" w:type="pct"/>
            <w:shd w:val="clear" w:color="auto" w:fill="FFFFFF" w:themeFill="background1"/>
          </w:tcPr>
          <w:p w:rsidR="00850323" w:rsidRPr="004B334B" w:rsidRDefault="00850323" w:rsidP="008D1B46">
            <w:pPr>
              <w:pStyle w:val="BodyText"/>
              <w:spacing w:before="0" w:after="0"/>
              <w:jc w:val="center"/>
              <w:cnfStyle w:val="000000100000"/>
              <w:rPr>
                <w:rFonts w:ascii="Arial Narrow" w:hAnsi="Arial Narrow"/>
                <w:sz w:val="18"/>
                <w:szCs w:val="18"/>
              </w:rPr>
            </w:pPr>
            <w:r w:rsidRPr="004B334B">
              <w:rPr>
                <w:rFonts w:ascii="Arial Narrow" w:hAnsi="Arial Narrow"/>
                <w:sz w:val="18"/>
                <w:szCs w:val="18"/>
              </w:rPr>
              <w:t xml:space="preserve">Concentration </w:t>
            </w:r>
            <w:r>
              <w:rPr>
                <w:rFonts w:ascii="Arial Narrow" w:hAnsi="Arial Narrow"/>
                <w:sz w:val="18"/>
                <w:szCs w:val="18"/>
              </w:rPr>
              <w:br/>
            </w:r>
            <w:r w:rsidRPr="004B334B">
              <w:rPr>
                <w:rFonts w:ascii="Arial Narrow" w:hAnsi="Arial Narrow"/>
                <w:sz w:val="18"/>
                <w:szCs w:val="18"/>
              </w:rPr>
              <w:t>(</w:t>
            </w:r>
            <w:r>
              <w:rPr>
                <w:rFonts w:ascii="Arial Narrow" w:hAnsi="Arial Narrow"/>
                <w:sz w:val="18"/>
                <w:szCs w:val="18"/>
              </w:rPr>
              <w:t>ppb</w:t>
            </w:r>
            <w:r w:rsidRPr="004B334B">
              <w:rPr>
                <w:rFonts w:ascii="Arial Narrow" w:hAnsi="Arial Narrow"/>
                <w:sz w:val="18"/>
                <w:szCs w:val="18"/>
              </w:rPr>
              <w:t>)</w:t>
            </w:r>
          </w:p>
        </w:tc>
        <w:tc>
          <w:tcPr>
            <w:tcW w:w="751" w:type="pct"/>
            <w:shd w:val="clear" w:color="auto" w:fill="FFFFFF" w:themeFill="background1"/>
          </w:tcPr>
          <w:p w:rsidR="00850323" w:rsidRPr="004B334B" w:rsidRDefault="00850323" w:rsidP="008D1B46">
            <w:pPr>
              <w:pStyle w:val="BodyText"/>
              <w:spacing w:before="0" w:after="0"/>
              <w:jc w:val="center"/>
              <w:cnfStyle w:val="000000100000"/>
              <w:rPr>
                <w:rFonts w:ascii="Arial Narrow" w:hAnsi="Arial Narrow"/>
                <w:sz w:val="18"/>
                <w:szCs w:val="18"/>
              </w:rPr>
            </w:pPr>
            <w:r>
              <w:rPr>
                <w:rFonts w:ascii="Arial Narrow" w:hAnsi="Arial Narrow"/>
                <w:sz w:val="18"/>
                <w:szCs w:val="18"/>
              </w:rPr>
              <w:t xml:space="preserve">Relative Percent Difference </w:t>
            </w:r>
            <w:r w:rsidRPr="008958D0">
              <w:rPr>
                <w:rFonts w:ascii="Arial Narrow" w:hAnsi="Arial Narrow"/>
                <w:sz w:val="18"/>
                <w:szCs w:val="18"/>
                <w:vertAlign w:val="superscript"/>
              </w:rPr>
              <w:t>c</w:t>
            </w:r>
          </w:p>
        </w:tc>
        <w:tc>
          <w:tcPr>
            <w:tcW w:w="746" w:type="pct"/>
            <w:shd w:val="clear" w:color="auto" w:fill="FFFFFF" w:themeFill="background1"/>
          </w:tcPr>
          <w:p w:rsidR="00850323" w:rsidRDefault="00850323" w:rsidP="008D1B46">
            <w:pPr>
              <w:pStyle w:val="BodyText"/>
              <w:spacing w:before="0" w:after="0"/>
              <w:jc w:val="center"/>
              <w:cnfStyle w:val="000000100000"/>
              <w:rPr>
                <w:rFonts w:ascii="Arial Narrow" w:hAnsi="Arial Narrow"/>
                <w:sz w:val="18"/>
                <w:szCs w:val="18"/>
              </w:rPr>
            </w:pPr>
            <w:r>
              <w:rPr>
                <w:rFonts w:ascii="Arial Narrow" w:hAnsi="Arial Narrow"/>
                <w:sz w:val="18"/>
                <w:szCs w:val="18"/>
              </w:rPr>
              <w:t>Detection limit/congener (ppb)</w:t>
            </w:r>
          </w:p>
        </w:tc>
      </w:tr>
      <w:tr w:rsidR="00850323" w:rsidRPr="004B334B" w:rsidTr="008D1B46">
        <w:trPr>
          <w:jc w:val="center"/>
        </w:trPr>
        <w:tc>
          <w:tcPr>
            <w:cnfStyle w:val="001000000000"/>
            <w:tcW w:w="619" w:type="pct"/>
            <w:shd w:val="clear" w:color="auto" w:fill="FFFFFF" w:themeFill="background1"/>
          </w:tcPr>
          <w:p w:rsidR="00850323" w:rsidRPr="00694D0B" w:rsidRDefault="00850323" w:rsidP="008D1B46">
            <w:pPr>
              <w:pStyle w:val="BodyText"/>
              <w:rPr>
                <w:rFonts w:asciiTheme="majorHAnsi" w:hAnsiTheme="majorHAnsi"/>
                <w:sz w:val="18"/>
                <w:szCs w:val="18"/>
              </w:rPr>
            </w:pPr>
            <w:r w:rsidRPr="00694D0B">
              <w:rPr>
                <w:rFonts w:asciiTheme="majorHAnsi" w:hAnsiTheme="majorHAnsi"/>
                <w:sz w:val="18"/>
                <w:szCs w:val="18"/>
              </w:rPr>
              <w:t xml:space="preserve">PCB </w:t>
            </w:r>
            <w:r>
              <w:rPr>
                <w:rFonts w:asciiTheme="majorHAnsi" w:hAnsiTheme="majorHAnsi"/>
                <w:sz w:val="18"/>
                <w:szCs w:val="18"/>
              </w:rPr>
              <w:t>congeners (low-detection limit)</w:t>
            </w:r>
          </w:p>
        </w:tc>
        <w:tc>
          <w:tcPr>
            <w:tcW w:w="503" w:type="pct"/>
            <w:shd w:val="clear" w:color="auto" w:fill="FFFFFF" w:themeFill="background1"/>
          </w:tcPr>
          <w:p w:rsidR="00850323" w:rsidRPr="004B334B" w:rsidRDefault="00850323" w:rsidP="008D1B46">
            <w:pPr>
              <w:pStyle w:val="BodyText"/>
              <w:spacing w:before="0" w:after="0"/>
              <w:jc w:val="center"/>
              <w:cnfStyle w:val="000000000000"/>
              <w:rPr>
                <w:rFonts w:ascii="Arial Narrow" w:hAnsi="Arial Narrow"/>
                <w:sz w:val="18"/>
                <w:szCs w:val="18"/>
              </w:rPr>
            </w:pPr>
            <w:r w:rsidRPr="004B334B">
              <w:rPr>
                <w:rFonts w:ascii="Arial Narrow" w:hAnsi="Arial Narrow"/>
                <w:sz w:val="18"/>
                <w:szCs w:val="18"/>
              </w:rPr>
              <w:t>EPA 1668C</w:t>
            </w:r>
            <w:r>
              <w:rPr>
                <w:rFonts w:ascii="Arial Narrow" w:hAnsi="Arial Narrow"/>
                <w:sz w:val="18"/>
                <w:szCs w:val="18"/>
              </w:rPr>
              <w:br/>
            </w:r>
          </w:p>
        </w:tc>
        <w:tc>
          <w:tcPr>
            <w:tcW w:w="612" w:type="pct"/>
            <w:shd w:val="clear" w:color="auto" w:fill="FFFFFF" w:themeFill="background1"/>
          </w:tcPr>
          <w:p w:rsidR="00850323" w:rsidRPr="004B334B" w:rsidRDefault="00850323" w:rsidP="008D1B46">
            <w:pPr>
              <w:pStyle w:val="BodyText"/>
              <w:spacing w:before="0" w:after="0"/>
              <w:jc w:val="center"/>
              <w:cnfStyle w:val="000000000000"/>
              <w:rPr>
                <w:rFonts w:ascii="Arial Narrow" w:hAnsi="Arial Narrow"/>
                <w:sz w:val="18"/>
                <w:szCs w:val="18"/>
              </w:rPr>
            </w:pPr>
            <w:r w:rsidRPr="004B334B">
              <w:rPr>
                <w:rFonts w:ascii="Arial Narrow" w:hAnsi="Arial Narrow"/>
                <w:sz w:val="18"/>
                <w:szCs w:val="18"/>
              </w:rPr>
              <w:t>50-145%</w:t>
            </w:r>
          </w:p>
        </w:tc>
        <w:tc>
          <w:tcPr>
            <w:tcW w:w="575" w:type="pct"/>
            <w:shd w:val="clear" w:color="auto" w:fill="FFFFFF" w:themeFill="background1"/>
          </w:tcPr>
          <w:p w:rsidR="00850323" w:rsidRPr="004B334B" w:rsidRDefault="00850323" w:rsidP="008D1B46">
            <w:pPr>
              <w:pStyle w:val="BodyText"/>
              <w:spacing w:before="0" w:after="0"/>
              <w:jc w:val="center"/>
              <w:cnfStyle w:val="000000000000"/>
              <w:rPr>
                <w:rFonts w:ascii="Arial Narrow" w:hAnsi="Arial Narrow"/>
                <w:sz w:val="18"/>
                <w:szCs w:val="18"/>
              </w:rPr>
            </w:pPr>
            <w:r>
              <w:rPr>
                <w:rFonts w:ascii="Arial Narrow" w:hAnsi="Arial Narrow"/>
                <w:sz w:val="18"/>
                <w:szCs w:val="18"/>
              </w:rPr>
              <w:t>60-135</w:t>
            </w:r>
            <w:r w:rsidRPr="004B334B">
              <w:rPr>
                <w:rFonts w:ascii="Arial Narrow" w:hAnsi="Arial Narrow"/>
                <w:sz w:val="18"/>
                <w:szCs w:val="18"/>
              </w:rPr>
              <w:t>%</w:t>
            </w:r>
          </w:p>
        </w:tc>
        <w:tc>
          <w:tcPr>
            <w:tcW w:w="574" w:type="pct"/>
            <w:shd w:val="clear" w:color="auto" w:fill="FFFFFF" w:themeFill="background1"/>
          </w:tcPr>
          <w:p w:rsidR="00850323" w:rsidRDefault="00850323" w:rsidP="008D1B46">
            <w:pPr>
              <w:pStyle w:val="BodyText"/>
              <w:spacing w:before="0" w:after="0"/>
              <w:jc w:val="center"/>
              <w:cnfStyle w:val="000000000000"/>
              <w:rPr>
                <w:rFonts w:ascii="Arial Narrow" w:hAnsi="Arial Narrow"/>
                <w:sz w:val="18"/>
                <w:szCs w:val="18"/>
                <w:vertAlign w:val="superscript"/>
              </w:rPr>
            </w:pPr>
            <w:r>
              <w:rPr>
                <w:rFonts w:ascii="Arial Narrow" w:hAnsi="Arial Narrow"/>
                <w:sz w:val="18"/>
                <w:szCs w:val="18"/>
              </w:rPr>
              <w:t>5</w:t>
            </w:r>
            <w:r w:rsidRPr="004B334B">
              <w:rPr>
                <w:rFonts w:ascii="Arial Narrow" w:hAnsi="Arial Narrow"/>
                <w:sz w:val="18"/>
                <w:szCs w:val="18"/>
              </w:rPr>
              <w:t>-1</w:t>
            </w:r>
            <w:r>
              <w:rPr>
                <w:rFonts w:ascii="Arial Narrow" w:hAnsi="Arial Narrow"/>
                <w:sz w:val="18"/>
                <w:szCs w:val="18"/>
              </w:rPr>
              <w:t>45</w:t>
            </w:r>
            <w:r w:rsidRPr="004B334B">
              <w:rPr>
                <w:rFonts w:ascii="Arial Narrow" w:hAnsi="Arial Narrow"/>
                <w:sz w:val="18"/>
                <w:szCs w:val="18"/>
              </w:rPr>
              <w:t>%</w:t>
            </w:r>
            <w:r w:rsidRPr="008958D0">
              <w:rPr>
                <w:rFonts w:ascii="Arial Narrow" w:hAnsi="Arial Narrow"/>
                <w:sz w:val="18"/>
                <w:szCs w:val="18"/>
                <w:vertAlign w:val="superscript"/>
              </w:rPr>
              <w:t>a</w:t>
            </w:r>
          </w:p>
          <w:p w:rsidR="00850323" w:rsidRPr="004B334B" w:rsidRDefault="00850323" w:rsidP="008D1B46">
            <w:pPr>
              <w:pStyle w:val="BodyText"/>
              <w:spacing w:before="0" w:after="0"/>
              <w:jc w:val="center"/>
              <w:cnfStyle w:val="000000000000"/>
              <w:rPr>
                <w:rFonts w:ascii="Arial Narrow" w:hAnsi="Arial Narrow"/>
                <w:sz w:val="18"/>
                <w:szCs w:val="18"/>
              </w:rPr>
            </w:pPr>
            <w:r>
              <w:rPr>
                <w:rFonts w:ascii="Arial Narrow" w:hAnsi="Arial Narrow"/>
                <w:sz w:val="18"/>
                <w:szCs w:val="18"/>
              </w:rPr>
              <w:t>10</w:t>
            </w:r>
            <w:r w:rsidRPr="004B334B">
              <w:rPr>
                <w:rFonts w:ascii="Arial Narrow" w:hAnsi="Arial Narrow"/>
                <w:sz w:val="18"/>
                <w:szCs w:val="18"/>
              </w:rPr>
              <w:t>-1</w:t>
            </w:r>
            <w:r>
              <w:rPr>
                <w:rFonts w:ascii="Arial Narrow" w:hAnsi="Arial Narrow"/>
                <w:sz w:val="18"/>
                <w:szCs w:val="18"/>
              </w:rPr>
              <w:t>45</w:t>
            </w:r>
            <w:r w:rsidRPr="004B334B">
              <w:rPr>
                <w:rFonts w:ascii="Arial Narrow" w:hAnsi="Arial Narrow"/>
                <w:sz w:val="18"/>
                <w:szCs w:val="18"/>
              </w:rPr>
              <w:t>%</w:t>
            </w:r>
            <w:r>
              <w:rPr>
                <w:rFonts w:ascii="Arial Narrow" w:hAnsi="Arial Narrow"/>
                <w:sz w:val="18"/>
                <w:szCs w:val="18"/>
                <w:vertAlign w:val="superscript"/>
              </w:rPr>
              <w:t>b</w:t>
            </w:r>
          </w:p>
        </w:tc>
        <w:tc>
          <w:tcPr>
            <w:tcW w:w="620" w:type="pct"/>
            <w:shd w:val="clear" w:color="auto" w:fill="FFFFFF" w:themeFill="background1"/>
          </w:tcPr>
          <w:p w:rsidR="00850323" w:rsidRPr="004B334B" w:rsidRDefault="00850323" w:rsidP="008D1B46">
            <w:pPr>
              <w:pStyle w:val="BodyText"/>
              <w:spacing w:before="0" w:after="0"/>
              <w:jc w:val="center"/>
              <w:cnfStyle w:val="000000000000"/>
              <w:rPr>
                <w:rFonts w:ascii="Arial Narrow" w:hAnsi="Arial Narrow"/>
                <w:sz w:val="18"/>
                <w:szCs w:val="18"/>
              </w:rPr>
            </w:pPr>
            <w:r>
              <w:rPr>
                <w:rFonts w:ascii="Arial Narrow" w:hAnsi="Arial Narrow"/>
                <w:sz w:val="18"/>
                <w:szCs w:val="18"/>
              </w:rPr>
              <w:t>0.05 – 0.2</w:t>
            </w:r>
          </w:p>
        </w:tc>
        <w:tc>
          <w:tcPr>
            <w:tcW w:w="751" w:type="pct"/>
            <w:shd w:val="clear" w:color="auto" w:fill="FFFFFF" w:themeFill="background1"/>
          </w:tcPr>
          <w:p w:rsidR="00850323" w:rsidRPr="004B334B" w:rsidRDefault="00850323" w:rsidP="008D1B46">
            <w:pPr>
              <w:pStyle w:val="BodyText"/>
              <w:spacing w:before="0" w:after="0"/>
              <w:jc w:val="center"/>
              <w:cnfStyle w:val="000000000000"/>
              <w:rPr>
                <w:rFonts w:ascii="Arial Narrow" w:hAnsi="Arial Narrow"/>
                <w:sz w:val="18"/>
                <w:szCs w:val="18"/>
              </w:rPr>
            </w:pPr>
            <w:r w:rsidRPr="001E2734">
              <w:rPr>
                <w:rFonts w:ascii="Arial Narrow" w:hAnsi="Arial Narrow"/>
                <w:sz w:val="18"/>
                <w:szCs w:val="18"/>
                <w:u w:val="single"/>
              </w:rPr>
              <w:t>+</w:t>
            </w:r>
            <w:r>
              <w:rPr>
                <w:rFonts w:ascii="Arial Narrow" w:hAnsi="Arial Narrow"/>
                <w:sz w:val="18"/>
                <w:szCs w:val="18"/>
              </w:rPr>
              <w:t xml:space="preserve"> 2</w:t>
            </w:r>
            <w:r w:rsidRPr="004B334B">
              <w:rPr>
                <w:rFonts w:ascii="Arial Narrow" w:hAnsi="Arial Narrow"/>
                <w:sz w:val="18"/>
                <w:szCs w:val="18"/>
              </w:rPr>
              <w:t>5%</w:t>
            </w:r>
          </w:p>
        </w:tc>
        <w:tc>
          <w:tcPr>
            <w:tcW w:w="746" w:type="pct"/>
            <w:shd w:val="clear" w:color="auto" w:fill="FFFFFF" w:themeFill="background1"/>
          </w:tcPr>
          <w:p w:rsidR="00850323" w:rsidRPr="008958D0" w:rsidRDefault="00850323" w:rsidP="008D1B46">
            <w:pPr>
              <w:pStyle w:val="BodyText"/>
              <w:spacing w:before="0" w:after="0"/>
              <w:jc w:val="center"/>
              <w:cnfStyle w:val="000000000000"/>
              <w:rPr>
                <w:rFonts w:ascii="Arial Narrow" w:hAnsi="Arial Narrow"/>
                <w:sz w:val="18"/>
                <w:szCs w:val="18"/>
              </w:rPr>
            </w:pPr>
            <w:r w:rsidRPr="008958D0">
              <w:rPr>
                <w:rFonts w:ascii="Arial Narrow" w:hAnsi="Arial Narrow"/>
                <w:sz w:val="18"/>
                <w:szCs w:val="18"/>
              </w:rPr>
              <w:t>0.02 to 0.1</w:t>
            </w:r>
          </w:p>
        </w:tc>
      </w:tr>
      <w:tr w:rsidR="00850323" w:rsidRPr="004B334B" w:rsidTr="008D1B46">
        <w:trPr>
          <w:cnfStyle w:val="000000100000"/>
          <w:jc w:val="center"/>
        </w:trPr>
        <w:tc>
          <w:tcPr>
            <w:cnfStyle w:val="001000000000"/>
            <w:tcW w:w="619" w:type="pct"/>
            <w:shd w:val="clear" w:color="auto" w:fill="FFFFFF" w:themeFill="background1"/>
          </w:tcPr>
          <w:p w:rsidR="00850323" w:rsidRPr="00694D0B" w:rsidRDefault="00850323" w:rsidP="008D1B46">
            <w:pPr>
              <w:pStyle w:val="BodyText"/>
              <w:rPr>
                <w:rFonts w:asciiTheme="majorHAnsi" w:hAnsiTheme="majorHAnsi"/>
                <w:sz w:val="18"/>
                <w:szCs w:val="18"/>
              </w:rPr>
            </w:pPr>
            <w:r>
              <w:rPr>
                <w:rFonts w:asciiTheme="majorHAnsi" w:hAnsiTheme="majorHAnsi"/>
                <w:sz w:val="18"/>
                <w:szCs w:val="18"/>
              </w:rPr>
              <w:t>PCB congeners (lower cost, higher detection limit)</w:t>
            </w:r>
          </w:p>
        </w:tc>
        <w:tc>
          <w:tcPr>
            <w:tcW w:w="503" w:type="pct"/>
            <w:shd w:val="clear" w:color="auto" w:fill="FFFFFF" w:themeFill="background1"/>
          </w:tcPr>
          <w:p w:rsidR="00850323" w:rsidRPr="004B334B" w:rsidRDefault="00850323" w:rsidP="008D1B46">
            <w:pPr>
              <w:pStyle w:val="BodyText"/>
              <w:spacing w:before="0" w:after="0"/>
              <w:jc w:val="center"/>
              <w:cnfStyle w:val="000000100000"/>
              <w:rPr>
                <w:rFonts w:ascii="Arial Narrow" w:hAnsi="Arial Narrow"/>
                <w:sz w:val="18"/>
                <w:szCs w:val="18"/>
              </w:rPr>
            </w:pPr>
            <w:r>
              <w:rPr>
                <w:rFonts w:ascii="Arial Narrow" w:hAnsi="Arial Narrow"/>
                <w:sz w:val="18"/>
                <w:szCs w:val="18"/>
              </w:rPr>
              <w:t>Axys MLA-007</w:t>
            </w:r>
          </w:p>
        </w:tc>
        <w:tc>
          <w:tcPr>
            <w:tcW w:w="612" w:type="pct"/>
            <w:shd w:val="clear" w:color="auto" w:fill="FFFFFF" w:themeFill="background1"/>
          </w:tcPr>
          <w:p w:rsidR="00850323" w:rsidRPr="004B334B" w:rsidRDefault="00850323" w:rsidP="008D1B46">
            <w:pPr>
              <w:pStyle w:val="BodyText"/>
              <w:spacing w:before="0" w:after="0"/>
              <w:jc w:val="center"/>
              <w:cnfStyle w:val="000000100000"/>
              <w:rPr>
                <w:rFonts w:ascii="Arial Narrow" w:hAnsi="Arial Narrow"/>
                <w:sz w:val="18"/>
                <w:szCs w:val="18"/>
              </w:rPr>
            </w:pPr>
          </w:p>
        </w:tc>
        <w:tc>
          <w:tcPr>
            <w:tcW w:w="575" w:type="pct"/>
            <w:shd w:val="clear" w:color="auto" w:fill="FFFFFF" w:themeFill="background1"/>
          </w:tcPr>
          <w:p w:rsidR="00850323" w:rsidRDefault="00850323" w:rsidP="008D1B46">
            <w:pPr>
              <w:pStyle w:val="BodyText"/>
              <w:spacing w:before="0" w:after="0"/>
              <w:jc w:val="center"/>
              <w:cnfStyle w:val="000000100000"/>
              <w:rPr>
                <w:rFonts w:ascii="Arial Narrow" w:hAnsi="Arial Narrow"/>
                <w:sz w:val="18"/>
                <w:szCs w:val="18"/>
              </w:rPr>
            </w:pPr>
          </w:p>
        </w:tc>
        <w:tc>
          <w:tcPr>
            <w:tcW w:w="574" w:type="pct"/>
            <w:shd w:val="clear" w:color="auto" w:fill="FFFFFF" w:themeFill="background1"/>
          </w:tcPr>
          <w:p w:rsidR="00850323" w:rsidRDefault="00850323" w:rsidP="008D1B46">
            <w:pPr>
              <w:pStyle w:val="BodyText"/>
              <w:spacing w:before="0" w:after="0"/>
              <w:jc w:val="center"/>
              <w:cnfStyle w:val="000000100000"/>
              <w:rPr>
                <w:rFonts w:ascii="Arial Narrow" w:hAnsi="Arial Narrow"/>
                <w:sz w:val="18"/>
                <w:szCs w:val="18"/>
              </w:rPr>
            </w:pPr>
          </w:p>
        </w:tc>
        <w:tc>
          <w:tcPr>
            <w:tcW w:w="620" w:type="pct"/>
            <w:shd w:val="clear" w:color="auto" w:fill="FFFFFF" w:themeFill="background1"/>
          </w:tcPr>
          <w:p w:rsidR="00850323" w:rsidRDefault="00850323" w:rsidP="008D1B46">
            <w:pPr>
              <w:pStyle w:val="BodyText"/>
              <w:spacing w:before="0" w:after="0"/>
              <w:jc w:val="center"/>
              <w:cnfStyle w:val="000000100000"/>
              <w:rPr>
                <w:rFonts w:ascii="Arial Narrow" w:hAnsi="Arial Narrow"/>
                <w:sz w:val="18"/>
                <w:szCs w:val="18"/>
              </w:rPr>
            </w:pPr>
          </w:p>
        </w:tc>
        <w:tc>
          <w:tcPr>
            <w:tcW w:w="751" w:type="pct"/>
            <w:shd w:val="clear" w:color="auto" w:fill="FFFFFF" w:themeFill="background1"/>
          </w:tcPr>
          <w:p w:rsidR="00850323" w:rsidRPr="001E2734" w:rsidRDefault="00850323" w:rsidP="008D1B46">
            <w:pPr>
              <w:pStyle w:val="BodyText"/>
              <w:spacing w:before="0" w:after="0"/>
              <w:jc w:val="center"/>
              <w:cnfStyle w:val="000000100000"/>
              <w:rPr>
                <w:rFonts w:ascii="Arial Narrow" w:hAnsi="Arial Narrow"/>
                <w:sz w:val="18"/>
                <w:szCs w:val="18"/>
                <w:u w:val="single"/>
              </w:rPr>
            </w:pPr>
          </w:p>
        </w:tc>
        <w:tc>
          <w:tcPr>
            <w:tcW w:w="746" w:type="pct"/>
            <w:shd w:val="clear" w:color="auto" w:fill="FFFFFF" w:themeFill="background1"/>
          </w:tcPr>
          <w:p w:rsidR="00850323" w:rsidRPr="008958D0" w:rsidRDefault="00850323" w:rsidP="008D1B46">
            <w:pPr>
              <w:pStyle w:val="BodyText"/>
              <w:spacing w:before="0" w:after="0"/>
              <w:jc w:val="center"/>
              <w:cnfStyle w:val="000000100000"/>
              <w:rPr>
                <w:rFonts w:ascii="Arial Narrow" w:hAnsi="Arial Narrow"/>
                <w:sz w:val="18"/>
                <w:szCs w:val="18"/>
              </w:rPr>
            </w:pPr>
            <w:r>
              <w:rPr>
                <w:rFonts w:ascii="Arial Narrow" w:hAnsi="Arial Narrow"/>
                <w:sz w:val="18"/>
                <w:szCs w:val="18"/>
              </w:rPr>
              <w:t>0.1 to 0.5</w:t>
            </w:r>
          </w:p>
        </w:tc>
      </w:tr>
    </w:tbl>
    <w:p w:rsidR="00850323" w:rsidRPr="008958D0" w:rsidRDefault="00850323" w:rsidP="00FD7F57">
      <w:pPr>
        <w:spacing w:after="0" w:line="240" w:lineRule="auto"/>
        <w:rPr>
          <w:sz w:val="16"/>
          <w:szCs w:val="16"/>
        </w:rPr>
      </w:pPr>
      <w:r>
        <w:tab/>
      </w:r>
      <w:r w:rsidRPr="008958D0">
        <w:rPr>
          <w:sz w:val="16"/>
          <w:szCs w:val="16"/>
        </w:rPr>
        <w:t>a – MoCB to TriCB</w:t>
      </w:r>
    </w:p>
    <w:p w:rsidR="00850323" w:rsidRPr="008958D0" w:rsidRDefault="00850323" w:rsidP="00FD7F57">
      <w:pPr>
        <w:spacing w:after="0" w:line="240" w:lineRule="auto"/>
        <w:ind w:firstLine="720"/>
        <w:rPr>
          <w:sz w:val="16"/>
          <w:szCs w:val="16"/>
        </w:rPr>
      </w:pPr>
      <w:r w:rsidRPr="008958D0">
        <w:rPr>
          <w:sz w:val="16"/>
          <w:szCs w:val="16"/>
        </w:rPr>
        <w:t>b – remaining congeners</w:t>
      </w:r>
    </w:p>
    <w:p w:rsidR="00850323" w:rsidRPr="008958D0" w:rsidRDefault="00850323" w:rsidP="00FD7F57">
      <w:pPr>
        <w:spacing w:after="0" w:line="240" w:lineRule="auto"/>
        <w:ind w:firstLine="720"/>
        <w:rPr>
          <w:sz w:val="16"/>
          <w:szCs w:val="16"/>
        </w:rPr>
      </w:pPr>
      <w:r w:rsidRPr="008958D0">
        <w:rPr>
          <w:sz w:val="16"/>
          <w:szCs w:val="16"/>
        </w:rPr>
        <w:t>c – applies only when values are &gt; 10 times the detection limit</w:t>
      </w:r>
      <w:r w:rsidRPr="008958D0">
        <w:rPr>
          <w:sz w:val="16"/>
          <w:szCs w:val="16"/>
        </w:rPr>
        <w:tab/>
      </w:r>
    </w:p>
    <w:p w:rsidR="00850323" w:rsidRPr="008958D0" w:rsidRDefault="00850323" w:rsidP="00850323"/>
    <w:p w:rsidR="00FD7F57" w:rsidRDefault="00FD7F57" w:rsidP="00850323">
      <w:pPr>
        <w:pStyle w:val="Caption"/>
      </w:pPr>
    </w:p>
    <w:p w:rsidR="00FD7F57" w:rsidRDefault="00FD7F57" w:rsidP="00850323">
      <w:pPr>
        <w:pStyle w:val="Caption"/>
      </w:pPr>
    </w:p>
    <w:p w:rsidR="00FD7F57" w:rsidRDefault="00FD7F57" w:rsidP="00850323">
      <w:pPr>
        <w:pStyle w:val="Caption"/>
      </w:pPr>
    </w:p>
    <w:p w:rsidR="00FD7F57" w:rsidRDefault="00FD7F57" w:rsidP="00850323">
      <w:pPr>
        <w:pStyle w:val="Caption"/>
      </w:pPr>
    </w:p>
    <w:p w:rsidR="00FD7F57" w:rsidRDefault="00FD7F57" w:rsidP="00850323">
      <w:pPr>
        <w:pStyle w:val="Caption"/>
      </w:pPr>
    </w:p>
    <w:p w:rsidR="00850323" w:rsidRDefault="00850323" w:rsidP="00FD7F57">
      <w:pPr>
        <w:pStyle w:val="Caption"/>
        <w:jc w:val="center"/>
      </w:pPr>
      <w:r>
        <w:t xml:space="preserve">Supplemented QAPP Table </w:t>
      </w:r>
      <w:r w:rsidR="0017258D">
        <w:fldChar w:fldCharType="begin"/>
      </w:r>
      <w:r w:rsidR="0065471C">
        <w:instrText xml:space="preserve"> SEQ Table \* ARABIC </w:instrText>
      </w:r>
      <w:r w:rsidR="0017258D">
        <w:fldChar w:fldCharType="separate"/>
      </w:r>
      <w:r>
        <w:rPr>
          <w:noProof/>
        </w:rPr>
        <w:t>10</w:t>
      </w:r>
      <w:r w:rsidR="0017258D">
        <w:rPr>
          <w:noProof/>
        </w:rPr>
        <w:fldChar w:fldCharType="end"/>
      </w:r>
      <w:r w:rsidRPr="00A02B78">
        <w:t xml:space="preserve">. </w:t>
      </w:r>
      <w:r>
        <w:t>Laboratory Methods and Detection Limit</w:t>
      </w:r>
      <w:bookmarkEnd w:id="2"/>
    </w:p>
    <w:p w:rsidR="00FD7F57" w:rsidRPr="00FD7F57" w:rsidRDefault="00FD7F57" w:rsidP="00FD7F57"/>
    <w:tbl>
      <w:tblPr>
        <w:tblStyle w:val="MediumShading1-Accent12"/>
        <w:tblW w:w="0" w:type="auto"/>
        <w:jc w:val="center"/>
        <w:tblLook w:val="04A0"/>
      </w:tblPr>
      <w:tblGrid>
        <w:gridCol w:w="1420"/>
        <w:gridCol w:w="1174"/>
        <w:gridCol w:w="1390"/>
        <w:gridCol w:w="1610"/>
        <w:gridCol w:w="1393"/>
        <w:gridCol w:w="1438"/>
      </w:tblGrid>
      <w:tr w:rsidR="00850323" w:rsidTr="008D1B46">
        <w:trPr>
          <w:cnfStyle w:val="100000000000"/>
          <w:jc w:val="center"/>
        </w:trPr>
        <w:tc>
          <w:tcPr>
            <w:cnfStyle w:val="001000000000"/>
            <w:tcW w:w="1420" w:type="dxa"/>
            <w:shd w:val="clear" w:color="auto" w:fill="1F497D" w:themeFill="text2"/>
            <w:vAlign w:val="center"/>
          </w:tcPr>
          <w:p w:rsidR="00850323" w:rsidRPr="00E20289" w:rsidRDefault="00850323" w:rsidP="008D1B46">
            <w:pPr>
              <w:pStyle w:val="BodyText"/>
              <w:jc w:val="center"/>
              <w:rPr>
                <w:rFonts w:asciiTheme="majorHAnsi" w:hAnsiTheme="majorHAnsi"/>
                <w:sz w:val="18"/>
                <w:szCs w:val="18"/>
              </w:rPr>
            </w:pPr>
            <w:r w:rsidRPr="00E20289">
              <w:rPr>
                <w:rFonts w:asciiTheme="majorHAnsi" w:hAnsiTheme="majorHAnsi"/>
                <w:sz w:val="18"/>
                <w:szCs w:val="18"/>
              </w:rPr>
              <w:t>Parameter</w:t>
            </w:r>
          </w:p>
        </w:tc>
        <w:tc>
          <w:tcPr>
            <w:tcW w:w="1174" w:type="dxa"/>
            <w:shd w:val="clear" w:color="auto" w:fill="1F497D" w:themeFill="text2"/>
            <w:vAlign w:val="center"/>
          </w:tcPr>
          <w:p w:rsidR="00850323" w:rsidRPr="00E20289" w:rsidRDefault="00850323" w:rsidP="008D1B46">
            <w:pPr>
              <w:pStyle w:val="BodyText"/>
              <w:jc w:val="center"/>
              <w:cnfStyle w:val="100000000000"/>
              <w:rPr>
                <w:rFonts w:asciiTheme="majorHAnsi" w:hAnsiTheme="majorHAnsi"/>
                <w:sz w:val="18"/>
                <w:szCs w:val="18"/>
              </w:rPr>
            </w:pPr>
            <w:r>
              <w:rPr>
                <w:rFonts w:asciiTheme="majorHAnsi" w:hAnsiTheme="majorHAnsi"/>
                <w:sz w:val="18"/>
                <w:szCs w:val="18"/>
              </w:rPr>
              <w:t>Sample Matrix</w:t>
            </w:r>
          </w:p>
        </w:tc>
        <w:tc>
          <w:tcPr>
            <w:tcW w:w="1390" w:type="dxa"/>
            <w:shd w:val="clear" w:color="auto" w:fill="1F497D" w:themeFill="text2"/>
            <w:vAlign w:val="center"/>
          </w:tcPr>
          <w:p w:rsidR="00850323" w:rsidRPr="00E20289" w:rsidRDefault="00850323" w:rsidP="008D1B46">
            <w:pPr>
              <w:pStyle w:val="BodyText"/>
              <w:jc w:val="center"/>
              <w:cnfStyle w:val="100000000000"/>
              <w:rPr>
                <w:rFonts w:asciiTheme="majorHAnsi" w:hAnsiTheme="majorHAnsi"/>
                <w:sz w:val="18"/>
                <w:szCs w:val="18"/>
              </w:rPr>
            </w:pPr>
            <w:r w:rsidRPr="00E20289">
              <w:rPr>
                <w:rFonts w:asciiTheme="majorHAnsi" w:hAnsiTheme="majorHAnsi"/>
                <w:sz w:val="18"/>
                <w:szCs w:val="18"/>
              </w:rPr>
              <w:t>Detection Limit</w:t>
            </w:r>
          </w:p>
        </w:tc>
        <w:tc>
          <w:tcPr>
            <w:tcW w:w="1610" w:type="dxa"/>
            <w:shd w:val="clear" w:color="auto" w:fill="1F497D" w:themeFill="text2"/>
            <w:vAlign w:val="center"/>
          </w:tcPr>
          <w:p w:rsidR="00850323" w:rsidRPr="00E20289" w:rsidRDefault="00850323" w:rsidP="008D1B46">
            <w:pPr>
              <w:pStyle w:val="BodyText"/>
              <w:jc w:val="center"/>
              <w:cnfStyle w:val="100000000000"/>
              <w:rPr>
                <w:rFonts w:asciiTheme="majorHAnsi" w:hAnsiTheme="majorHAnsi"/>
                <w:sz w:val="18"/>
                <w:szCs w:val="18"/>
              </w:rPr>
            </w:pPr>
            <w:r w:rsidRPr="00E20289">
              <w:rPr>
                <w:rFonts w:asciiTheme="majorHAnsi" w:hAnsiTheme="majorHAnsi"/>
                <w:sz w:val="18"/>
                <w:szCs w:val="18"/>
              </w:rPr>
              <w:t>Expected Concentrations</w:t>
            </w:r>
          </w:p>
        </w:tc>
        <w:tc>
          <w:tcPr>
            <w:tcW w:w="1393" w:type="dxa"/>
            <w:shd w:val="clear" w:color="auto" w:fill="1F497D" w:themeFill="text2"/>
            <w:vAlign w:val="center"/>
          </w:tcPr>
          <w:p w:rsidR="00850323" w:rsidRPr="00E20289" w:rsidRDefault="00850323" w:rsidP="008D1B46">
            <w:pPr>
              <w:pStyle w:val="BodyText"/>
              <w:jc w:val="center"/>
              <w:cnfStyle w:val="100000000000"/>
              <w:rPr>
                <w:rFonts w:asciiTheme="majorHAnsi" w:hAnsiTheme="majorHAnsi"/>
                <w:sz w:val="18"/>
                <w:szCs w:val="18"/>
              </w:rPr>
            </w:pPr>
            <w:r w:rsidRPr="00E20289">
              <w:rPr>
                <w:rFonts w:asciiTheme="majorHAnsi" w:hAnsiTheme="majorHAnsi"/>
                <w:sz w:val="18"/>
                <w:szCs w:val="18"/>
              </w:rPr>
              <w:t>Analytical Method</w:t>
            </w:r>
          </w:p>
        </w:tc>
        <w:tc>
          <w:tcPr>
            <w:tcW w:w="1438" w:type="dxa"/>
            <w:shd w:val="clear" w:color="auto" w:fill="1F497D" w:themeFill="text2"/>
            <w:vAlign w:val="center"/>
          </w:tcPr>
          <w:p w:rsidR="00850323" w:rsidRPr="00E20289" w:rsidRDefault="00850323" w:rsidP="008D1B46">
            <w:pPr>
              <w:pStyle w:val="BodyText"/>
              <w:jc w:val="center"/>
              <w:cnfStyle w:val="100000000000"/>
              <w:rPr>
                <w:rFonts w:asciiTheme="majorHAnsi" w:hAnsiTheme="majorHAnsi"/>
                <w:sz w:val="18"/>
                <w:szCs w:val="18"/>
              </w:rPr>
            </w:pPr>
            <w:r w:rsidRPr="00E20289">
              <w:rPr>
                <w:rFonts w:asciiTheme="majorHAnsi" w:hAnsiTheme="majorHAnsi"/>
                <w:sz w:val="18"/>
                <w:szCs w:val="18"/>
              </w:rPr>
              <w:t>Laboratory</w:t>
            </w:r>
          </w:p>
        </w:tc>
      </w:tr>
      <w:tr w:rsidR="00850323" w:rsidTr="008D1B46">
        <w:trPr>
          <w:cnfStyle w:val="000000100000"/>
          <w:jc w:val="center"/>
        </w:trPr>
        <w:tc>
          <w:tcPr>
            <w:cnfStyle w:val="001000000000"/>
            <w:tcW w:w="1420" w:type="dxa"/>
          </w:tcPr>
          <w:p w:rsidR="00850323" w:rsidRPr="00694D0B" w:rsidRDefault="00850323" w:rsidP="008D1B46">
            <w:pPr>
              <w:pStyle w:val="BodyText"/>
              <w:rPr>
                <w:rFonts w:asciiTheme="majorHAnsi" w:hAnsiTheme="majorHAnsi"/>
                <w:sz w:val="18"/>
                <w:szCs w:val="18"/>
              </w:rPr>
            </w:pPr>
            <w:r w:rsidRPr="00694D0B">
              <w:rPr>
                <w:rFonts w:asciiTheme="majorHAnsi" w:hAnsiTheme="majorHAnsi"/>
                <w:sz w:val="18"/>
                <w:szCs w:val="18"/>
              </w:rPr>
              <w:t xml:space="preserve">PCB </w:t>
            </w:r>
            <w:r>
              <w:rPr>
                <w:rFonts w:asciiTheme="majorHAnsi" w:hAnsiTheme="majorHAnsi"/>
                <w:sz w:val="18"/>
                <w:szCs w:val="18"/>
              </w:rPr>
              <w:t>congeners (low-detection limit)</w:t>
            </w:r>
          </w:p>
        </w:tc>
        <w:tc>
          <w:tcPr>
            <w:tcW w:w="1174" w:type="dxa"/>
          </w:tcPr>
          <w:p w:rsidR="00850323" w:rsidRPr="00694D0B" w:rsidRDefault="00850323" w:rsidP="008D1B46">
            <w:pPr>
              <w:pStyle w:val="BodyText"/>
              <w:jc w:val="center"/>
              <w:cnfStyle w:val="000000100000"/>
              <w:rPr>
                <w:rFonts w:asciiTheme="majorHAnsi" w:hAnsiTheme="majorHAnsi"/>
                <w:sz w:val="18"/>
                <w:szCs w:val="18"/>
              </w:rPr>
            </w:pPr>
            <w:r>
              <w:rPr>
                <w:rFonts w:asciiTheme="majorHAnsi" w:hAnsiTheme="majorHAnsi"/>
                <w:sz w:val="18"/>
                <w:szCs w:val="18"/>
              </w:rPr>
              <w:t>Solid, liquid</w:t>
            </w:r>
          </w:p>
        </w:tc>
        <w:tc>
          <w:tcPr>
            <w:tcW w:w="1390" w:type="dxa"/>
          </w:tcPr>
          <w:p w:rsidR="00850323" w:rsidRPr="00694D0B" w:rsidRDefault="00850323" w:rsidP="008D1B46">
            <w:pPr>
              <w:pStyle w:val="BodyText"/>
              <w:jc w:val="center"/>
              <w:cnfStyle w:val="000000100000"/>
              <w:rPr>
                <w:rFonts w:asciiTheme="majorHAnsi" w:hAnsiTheme="majorHAnsi"/>
                <w:sz w:val="18"/>
                <w:szCs w:val="18"/>
              </w:rPr>
            </w:pPr>
            <w:r>
              <w:rPr>
                <w:rFonts w:asciiTheme="majorHAnsi" w:hAnsiTheme="majorHAnsi"/>
                <w:sz w:val="18"/>
                <w:szCs w:val="18"/>
              </w:rPr>
              <w:t>0.0001 ppb</w:t>
            </w:r>
          </w:p>
        </w:tc>
        <w:tc>
          <w:tcPr>
            <w:tcW w:w="1610" w:type="dxa"/>
          </w:tcPr>
          <w:p w:rsidR="00850323" w:rsidRPr="00694D0B" w:rsidRDefault="00850323" w:rsidP="008D1B46">
            <w:pPr>
              <w:pStyle w:val="BodyText"/>
              <w:jc w:val="center"/>
              <w:cnfStyle w:val="000000100000"/>
              <w:rPr>
                <w:rFonts w:asciiTheme="majorHAnsi" w:hAnsiTheme="majorHAnsi"/>
                <w:sz w:val="18"/>
                <w:szCs w:val="18"/>
              </w:rPr>
            </w:pPr>
            <w:r>
              <w:rPr>
                <w:rFonts w:asciiTheme="majorHAnsi" w:hAnsiTheme="majorHAnsi"/>
                <w:sz w:val="18"/>
                <w:szCs w:val="18"/>
              </w:rPr>
              <w:t>0.01-2,500+ ppb</w:t>
            </w:r>
          </w:p>
        </w:tc>
        <w:tc>
          <w:tcPr>
            <w:tcW w:w="1393" w:type="dxa"/>
          </w:tcPr>
          <w:p w:rsidR="00850323" w:rsidRPr="00694D0B" w:rsidRDefault="00850323" w:rsidP="008D1B46">
            <w:pPr>
              <w:pStyle w:val="BodyText"/>
              <w:jc w:val="center"/>
              <w:cnfStyle w:val="000000100000"/>
              <w:rPr>
                <w:rFonts w:asciiTheme="majorHAnsi" w:hAnsiTheme="majorHAnsi"/>
                <w:sz w:val="18"/>
                <w:szCs w:val="18"/>
              </w:rPr>
            </w:pPr>
            <w:r w:rsidRPr="00694D0B">
              <w:rPr>
                <w:rFonts w:asciiTheme="majorHAnsi" w:hAnsiTheme="majorHAnsi"/>
                <w:sz w:val="18"/>
                <w:szCs w:val="18"/>
              </w:rPr>
              <w:t>EPA 1668C</w:t>
            </w:r>
          </w:p>
        </w:tc>
        <w:tc>
          <w:tcPr>
            <w:tcW w:w="1438" w:type="dxa"/>
          </w:tcPr>
          <w:p w:rsidR="00850323" w:rsidRPr="00694D0B" w:rsidRDefault="00850323" w:rsidP="008D1B46">
            <w:pPr>
              <w:pStyle w:val="BodyText"/>
              <w:jc w:val="center"/>
              <w:cnfStyle w:val="000000100000"/>
              <w:rPr>
                <w:rFonts w:asciiTheme="majorHAnsi" w:hAnsiTheme="majorHAnsi"/>
                <w:sz w:val="18"/>
                <w:szCs w:val="18"/>
              </w:rPr>
            </w:pPr>
            <w:r>
              <w:rPr>
                <w:rFonts w:asciiTheme="majorHAnsi" w:hAnsiTheme="majorHAnsi"/>
                <w:sz w:val="18"/>
                <w:szCs w:val="18"/>
              </w:rPr>
              <w:t>Ecology-Accredited</w:t>
            </w:r>
          </w:p>
        </w:tc>
      </w:tr>
      <w:tr w:rsidR="00850323" w:rsidTr="008D1B46">
        <w:trPr>
          <w:cnfStyle w:val="000000010000"/>
          <w:jc w:val="center"/>
        </w:trPr>
        <w:tc>
          <w:tcPr>
            <w:cnfStyle w:val="001000000000"/>
            <w:tcW w:w="1420" w:type="dxa"/>
          </w:tcPr>
          <w:p w:rsidR="00850323" w:rsidRPr="00694D0B" w:rsidRDefault="00850323" w:rsidP="008D1B46">
            <w:pPr>
              <w:pStyle w:val="BodyText"/>
              <w:rPr>
                <w:rFonts w:asciiTheme="majorHAnsi" w:hAnsiTheme="majorHAnsi"/>
                <w:sz w:val="18"/>
                <w:szCs w:val="18"/>
              </w:rPr>
            </w:pPr>
            <w:r>
              <w:rPr>
                <w:rFonts w:asciiTheme="majorHAnsi" w:hAnsiTheme="majorHAnsi"/>
                <w:sz w:val="18"/>
                <w:szCs w:val="18"/>
              </w:rPr>
              <w:t>PCB congeners (lower cost, higher detection limit)</w:t>
            </w:r>
          </w:p>
        </w:tc>
        <w:tc>
          <w:tcPr>
            <w:tcW w:w="1174" w:type="dxa"/>
          </w:tcPr>
          <w:p w:rsidR="00850323" w:rsidRDefault="00850323" w:rsidP="008D1B46">
            <w:pPr>
              <w:pStyle w:val="BodyText"/>
              <w:jc w:val="center"/>
              <w:cnfStyle w:val="000000010000"/>
              <w:rPr>
                <w:rFonts w:asciiTheme="majorHAnsi" w:hAnsiTheme="majorHAnsi"/>
                <w:sz w:val="18"/>
                <w:szCs w:val="18"/>
              </w:rPr>
            </w:pPr>
            <w:r>
              <w:rPr>
                <w:rFonts w:asciiTheme="majorHAnsi" w:hAnsiTheme="majorHAnsi"/>
                <w:sz w:val="18"/>
                <w:szCs w:val="18"/>
              </w:rPr>
              <w:t>Solid, liquid</w:t>
            </w:r>
          </w:p>
        </w:tc>
        <w:tc>
          <w:tcPr>
            <w:tcW w:w="1390" w:type="dxa"/>
          </w:tcPr>
          <w:p w:rsidR="00850323" w:rsidRDefault="00850323" w:rsidP="008D1B46">
            <w:pPr>
              <w:pStyle w:val="BodyText"/>
              <w:jc w:val="center"/>
              <w:cnfStyle w:val="000000010000"/>
              <w:rPr>
                <w:rFonts w:asciiTheme="majorHAnsi" w:hAnsiTheme="majorHAnsi"/>
                <w:sz w:val="18"/>
                <w:szCs w:val="18"/>
              </w:rPr>
            </w:pPr>
            <w:r>
              <w:rPr>
                <w:rFonts w:asciiTheme="majorHAnsi" w:hAnsiTheme="majorHAnsi"/>
                <w:sz w:val="18"/>
                <w:szCs w:val="18"/>
              </w:rPr>
              <w:t>0.2 ppb</w:t>
            </w:r>
          </w:p>
        </w:tc>
        <w:tc>
          <w:tcPr>
            <w:tcW w:w="1610" w:type="dxa"/>
          </w:tcPr>
          <w:p w:rsidR="00850323" w:rsidRDefault="00850323" w:rsidP="008D1B46">
            <w:pPr>
              <w:pStyle w:val="BodyText"/>
              <w:jc w:val="center"/>
              <w:cnfStyle w:val="000000010000"/>
              <w:rPr>
                <w:rFonts w:asciiTheme="majorHAnsi" w:hAnsiTheme="majorHAnsi"/>
                <w:sz w:val="18"/>
                <w:szCs w:val="18"/>
              </w:rPr>
            </w:pPr>
            <w:r>
              <w:rPr>
                <w:rFonts w:asciiTheme="majorHAnsi" w:hAnsiTheme="majorHAnsi"/>
                <w:sz w:val="18"/>
                <w:szCs w:val="18"/>
              </w:rPr>
              <w:t>0.5 – 2,500+ ppb</w:t>
            </w:r>
          </w:p>
        </w:tc>
        <w:tc>
          <w:tcPr>
            <w:tcW w:w="1393" w:type="dxa"/>
          </w:tcPr>
          <w:p w:rsidR="00850323" w:rsidRPr="00694D0B" w:rsidRDefault="00850323" w:rsidP="008D1B46">
            <w:pPr>
              <w:pStyle w:val="BodyText"/>
              <w:jc w:val="center"/>
              <w:cnfStyle w:val="000000010000"/>
              <w:rPr>
                <w:rFonts w:asciiTheme="majorHAnsi" w:hAnsiTheme="majorHAnsi"/>
                <w:sz w:val="18"/>
                <w:szCs w:val="18"/>
              </w:rPr>
            </w:pPr>
            <w:r>
              <w:rPr>
                <w:rFonts w:asciiTheme="majorHAnsi" w:hAnsiTheme="majorHAnsi"/>
                <w:sz w:val="18"/>
                <w:szCs w:val="18"/>
              </w:rPr>
              <w:t>Axys MLA-007</w:t>
            </w:r>
          </w:p>
        </w:tc>
        <w:tc>
          <w:tcPr>
            <w:tcW w:w="1438" w:type="dxa"/>
          </w:tcPr>
          <w:p w:rsidR="00850323" w:rsidRDefault="00850323" w:rsidP="008D1B46">
            <w:pPr>
              <w:pStyle w:val="BodyText"/>
              <w:jc w:val="center"/>
              <w:cnfStyle w:val="000000010000"/>
              <w:rPr>
                <w:rFonts w:asciiTheme="majorHAnsi" w:hAnsiTheme="majorHAnsi"/>
                <w:sz w:val="18"/>
                <w:szCs w:val="18"/>
              </w:rPr>
            </w:pPr>
            <w:r>
              <w:rPr>
                <w:rFonts w:asciiTheme="majorHAnsi" w:hAnsiTheme="majorHAnsi"/>
                <w:sz w:val="18"/>
                <w:szCs w:val="18"/>
              </w:rPr>
              <w:t>Axys</w:t>
            </w:r>
          </w:p>
        </w:tc>
      </w:tr>
    </w:tbl>
    <w:p w:rsidR="00850323" w:rsidRDefault="00850323" w:rsidP="00850323">
      <w:r>
        <w:t xml:space="preserve"> </w:t>
      </w:r>
    </w:p>
    <w:p w:rsidR="00850323" w:rsidRDefault="00850323" w:rsidP="00850323">
      <w:r>
        <w:t xml:space="preserve">The </w:t>
      </w:r>
      <w:r>
        <w:rPr>
          <w:rStyle w:val="IntenseReference"/>
        </w:rPr>
        <w:t>Data Management Procedures</w:t>
      </w:r>
      <w:r w:rsidRPr="00B55CDC">
        <w:rPr>
          <w:rStyle w:val="IntenseReference"/>
        </w:rPr>
        <w:t xml:space="preserve"> </w:t>
      </w:r>
      <w:r>
        <w:t xml:space="preserve">in Section 9 will be followed with the exceptions noted below.  Samplers will be asked to fill out a copy of the sample sheet on page 32 of the QAPP, or equivalent.  </w:t>
      </w:r>
    </w:p>
    <w:p w:rsidR="00850323" w:rsidRDefault="00850323" w:rsidP="00850323">
      <w:pPr>
        <w:pStyle w:val="ListParagraph"/>
        <w:numPr>
          <w:ilvl w:val="0"/>
          <w:numId w:val="24"/>
        </w:numPr>
        <w:spacing w:line="276" w:lineRule="auto"/>
        <w:contextualSpacing/>
      </w:pPr>
      <w:r>
        <w:t>Field QC samples (replicates, equipment blanks) will not be collected.</w:t>
      </w:r>
    </w:p>
    <w:p w:rsidR="00850323" w:rsidRDefault="00850323" w:rsidP="00850323">
      <w:pPr>
        <w:pStyle w:val="ListParagraph"/>
        <w:numPr>
          <w:ilvl w:val="0"/>
          <w:numId w:val="24"/>
        </w:numPr>
        <w:spacing w:line="276" w:lineRule="auto"/>
        <w:contextualSpacing/>
      </w:pPr>
      <w:r>
        <w:t xml:space="preserve">Electronic data management will be managed through the SRRTTF and/or Ecology’s database as appropriate and available.  An electronic data deliverable (EDD) template will be provided by SRRTTF to the contract laboratory.  </w:t>
      </w:r>
    </w:p>
    <w:p w:rsidR="00850323" w:rsidRDefault="00850323" w:rsidP="00B46BB3">
      <w:pPr>
        <w:rPr>
          <w:rStyle w:val="Emphasis"/>
          <w:i w:val="0"/>
        </w:rPr>
      </w:pPr>
    </w:p>
    <w:p w:rsidR="00850323" w:rsidRDefault="00850323" w:rsidP="00B46BB3">
      <w:pPr>
        <w:rPr>
          <w:rStyle w:val="Emphasis"/>
          <w:i w:val="0"/>
        </w:rPr>
      </w:pPr>
    </w:p>
    <w:p w:rsidR="00850323" w:rsidRDefault="00850323" w:rsidP="00B46BB3">
      <w:pPr>
        <w:rPr>
          <w:rStyle w:val="Emphasis"/>
          <w:i w:val="0"/>
        </w:rPr>
      </w:pPr>
    </w:p>
    <w:p w:rsidR="00850323" w:rsidRDefault="00850323" w:rsidP="00B46BB3">
      <w:pPr>
        <w:rPr>
          <w:rStyle w:val="Emphasis"/>
          <w:i w:val="0"/>
        </w:rPr>
      </w:pPr>
    </w:p>
    <w:p w:rsidR="00850323" w:rsidRDefault="00850323" w:rsidP="00B46BB3">
      <w:pPr>
        <w:rPr>
          <w:rStyle w:val="Emphasis"/>
          <w:i w:val="0"/>
        </w:rPr>
      </w:pPr>
    </w:p>
    <w:p w:rsidR="00850323" w:rsidRDefault="00850323" w:rsidP="00B46BB3">
      <w:pPr>
        <w:rPr>
          <w:rStyle w:val="Emphasis"/>
          <w:i w:val="0"/>
        </w:rPr>
      </w:pPr>
    </w:p>
    <w:p w:rsidR="00850323" w:rsidRDefault="00850323" w:rsidP="00B46BB3">
      <w:pPr>
        <w:rPr>
          <w:rStyle w:val="Emphasis"/>
          <w:i w:val="0"/>
        </w:rPr>
      </w:pPr>
    </w:p>
    <w:p w:rsidR="00850323" w:rsidRPr="004C14E1" w:rsidRDefault="00850323" w:rsidP="00B46BB3">
      <w:pPr>
        <w:rPr>
          <w:rStyle w:val="Emphasis"/>
          <w:i w:val="0"/>
        </w:rPr>
      </w:pPr>
    </w:p>
    <w:sectPr w:rsidR="00850323" w:rsidRPr="004C14E1" w:rsidSect="00FB171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979" w:rsidRDefault="00527979" w:rsidP="00EC254F">
      <w:pPr>
        <w:spacing w:after="0" w:line="240" w:lineRule="auto"/>
      </w:pPr>
      <w:r>
        <w:separator/>
      </w:r>
    </w:p>
  </w:endnote>
  <w:endnote w:type="continuationSeparator" w:id="0">
    <w:p w:rsidR="00527979" w:rsidRDefault="00527979" w:rsidP="00EC2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altName w:val="Arial Black"/>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79" w:rsidRPr="00EC254F" w:rsidRDefault="0017258D" w:rsidP="00EC254F">
    <w:pPr>
      <w:pStyle w:val="Footer"/>
      <w:jc w:val="center"/>
      <w:rPr>
        <w:color w:val="077AAD"/>
        <w:sz w:val="16"/>
      </w:rPr>
    </w:pPr>
    <w:r w:rsidRPr="0017258D">
      <w:rPr>
        <w:noProof/>
      </w:rPr>
      <w:pict>
        <v:line id="Straight Connector 2" o:spid="_x0000_s32769" style="position:absolute;left:0;text-align:left;z-index:251657728;visibility:visible;mso-wrap-style:square;mso-width-percent:0;mso-height-percent:0;mso-wrap-distance-left:9pt;mso-wrap-distance-top:-8e-5mm;mso-wrap-distance-right:9pt;mso-wrap-distance-bottom:-8e-5mm;mso-position-horizontal:center;mso-position-horizontal-relative:page;mso-position-vertical:absolute;mso-position-vertical-relative:text;mso-width-percent:0;mso-height-percent:0;mso-width-relative:margin;mso-height-relative:margin" from="0,4.4pt" to="54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" strokecolor="#4a7ebb" strokeweight="1pt">
          <o:lock v:ext="edit" shapetype="f"/>
          <w10:wrap anchorx="page"/>
        </v:line>
      </w:pict>
    </w:r>
  </w:p>
  <w:p w:rsidR="00527979" w:rsidRPr="00EC254F" w:rsidRDefault="00527979" w:rsidP="006F4F87">
    <w:pPr>
      <w:pStyle w:val="Footer"/>
      <w:ind w:right="-360"/>
      <w:jc w:val="center"/>
      <w:rPr>
        <w:color w:val="077AAD"/>
        <w:sz w:val="16"/>
      </w:rPr>
    </w:pPr>
    <w:r w:rsidRPr="00EC254F">
      <w:rPr>
        <w:color w:val="077AAD"/>
        <w:sz w:val="16"/>
      </w:rPr>
      <w:t>Avista • City of Spokane • Idaho Department of Environmental Quality • Inland Empire Paper Company • Kaiser Aluminum • Lake Spokane Association</w:t>
    </w:r>
  </w:p>
  <w:p w:rsidR="00527979" w:rsidRPr="00EC254F" w:rsidRDefault="00527979" w:rsidP="006F4F87">
    <w:pPr>
      <w:pStyle w:val="Footer"/>
      <w:ind w:right="-360"/>
      <w:jc w:val="center"/>
      <w:rPr>
        <w:color w:val="077AAD"/>
        <w:sz w:val="16"/>
      </w:rPr>
    </w:pPr>
    <w:r w:rsidRPr="00EC254F">
      <w:rPr>
        <w:color w:val="077AAD"/>
        <w:sz w:val="16"/>
      </w:rPr>
      <w:t>Liberty Lake Sewer and Water District • Spokane County • Spokane Regional Health District • Spokane Riverkeeper • The Lands Council</w:t>
    </w:r>
  </w:p>
  <w:p w:rsidR="00527979" w:rsidRPr="00EC254F" w:rsidRDefault="00527979" w:rsidP="006F4F87">
    <w:pPr>
      <w:pStyle w:val="Footer"/>
      <w:ind w:right="-360"/>
      <w:jc w:val="center"/>
      <w:rPr>
        <w:color w:val="077AAD"/>
        <w:sz w:val="16"/>
      </w:rPr>
    </w:pPr>
    <w:r w:rsidRPr="00EC254F">
      <w:rPr>
        <w:color w:val="077AAD"/>
        <w:sz w:val="16"/>
      </w:rPr>
      <w:t xml:space="preserve"> Washington State Department of Health • Washington State Department of Ecology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57253"/>
      <w:docPartObj>
        <w:docPartGallery w:val="Page Numbers (Bottom of Page)"/>
        <w:docPartUnique/>
      </w:docPartObj>
    </w:sdtPr>
    <w:sdtContent>
      <w:sdt>
        <w:sdtPr>
          <w:id w:val="565050523"/>
          <w:docPartObj>
            <w:docPartGallery w:val="Page Numbers (Top of Page)"/>
            <w:docPartUnique/>
          </w:docPartObj>
        </w:sdtPr>
        <w:sdtContent>
          <w:p w:rsidR="00527979" w:rsidRDefault="0017258D" w:rsidP="009F5DCB">
            <w:pPr>
              <w:pStyle w:val="Footer"/>
              <w:ind w:firstLine="2160"/>
            </w:pPr>
            <w:sdt>
              <w:sdtPr>
                <w:alias w:val="Title"/>
                <w:id w:val="793257289"/>
                <w:dataBinding w:prefixMappings="xmlns:ns0='http://purl.org/dc/elements/1.1/' xmlns:ns1='http://schemas.openxmlformats.org/package/2006/metadata/core-properties' " w:xpath="/ns1:coreProperties[1]/ns0:title[1]" w:storeItemID="{6C3C8BC8-F283-45AE-878A-BAB7291924A1}"/>
                <w:text/>
              </w:sdtPr>
              <w:sdtContent>
                <w:r w:rsidR="00783C4E">
                  <w:t>SRRTTF Hydroseed Pilot Project Results Summary</w:t>
                </w:r>
              </w:sdtContent>
            </w:sdt>
            <w:r w:rsidR="00527979">
              <w:t xml:space="preserve">Page </w:t>
            </w:r>
            <w:r>
              <w:rPr>
                <w:b/>
                <w:sz w:val="24"/>
                <w:szCs w:val="24"/>
              </w:rPr>
              <w:fldChar w:fldCharType="begin"/>
            </w:r>
            <w:r w:rsidR="00527979">
              <w:rPr>
                <w:b/>
              </w:rPr>
              <w:instrText xml:space="preserve"> PAGE </w:instrText>
            </w:r>
            <w:r>
              <w:rPr>
                <w:b/>
                <w:sz w:val="24"/>
                <w:szCs w:val="24"/>
              </w:rPr>
              <w:fldChar w:fldCharType="separate"/>
            </w:r>
            <w:r w:rsidR="00FD5E6B">
              <w:rPr>
                <w:b/>
                <w:noProof/>
              </w:rPr>
              <w:t>11</w:t>
            </w:r>
            <w:r>
              <w:rPr>
                <w:b/>
                <w:sz w:val="24"/>
                <w:szCs w:val="24"/>
              </w:rPr>
              <w:fldChar w:fldCharType="end"/>
            </w:r>
            <w:r w:rsidR="00527979">
              <w:t xml:space="preserve"> of </w:t>
            </w:r>
            <w:r>
              <w:rPr>
                <w:b/>
                <w:sz w:val="24"/>
                <w:szCs w:val="24"/>
              </w:rPr>
              <w:fldChar w:fldCharType="begin"/>
            </w:r>
            <w:r w:rsidR="00527979">
              <w:rPr>
                <w:b/>
              </w:rPr>
              <w:instrText xml:space="preserve"> NUMPAGES  </w:instrText>
            </w:r>
            <w:r>
              <w:rPr>
                <w:b/>
                <w:sz w:val="24"/>
                <w:szCs w:val="24"/>
              </w:rPr>
              <w:fldChar w:fldCharType="separate"/>
            </w:r>
            <w:r w:rsidR="00FD5E6B">
              <w:rPr>
                <w:b/>
                <w:noProof/>
              </w:rPr>
              <w:t>11</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979" w:rsidRDefault="00527979" w:rsidP="00EC254F">
      <w:pPr>
        <w:spacing w:after="0" w:line="240" w:lineRule="auto"/>
      </w:pPr>
      <w:r>
        <w:separator/>
      </w:r>
    </w:p>
  </w:footnote>
  <w:footnote w:type="continuationSeparator" w:id="0">
    <w:p w:rsidR="00527979" w:rsidRDefault="00527979" w:rsidP="00EC2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79" w:rsidRDefault="00527979">
    <w:pPr>
      <w:pStyle w:val="Header"/>
    </w:pPr>
    <w:r>
      <w:rPr>
        <w:noProof/>
      </w:rPr>
      <w:drawing>
        <wp:inline distT="0" distB="0" distL="0" distR="0">
          <wp:extent cx="6858000" cy="662940"/>
          <wp:effectExtent l="19050" t="0" r="0" b="0"/>
          <wp:docPr id="1" name="Picture 1" descr="SRRTT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RTTF2"/>
                  <pic:cNvPicPr>
                    <a:picLocks noChangeAspect="1" noChangeArrowheads="1"/>
                  </pic:cNvPicPr>
                </pic:nvPicPr>
                <pic:blipFill>
                  <a:blip r:embed="rId1"/>
                  <a:srcRect/>
                  <a:stretch>
                    <a:fillRect/>
                  </a:stretch>
                </pic:blipFill>
                <pic:spPr bwMode="auto">
                  <a:xfrm>
                    <a:off x="0" y="0"/>
                    <a:ext cx="6858000" cy="66294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79" w:rsidRDefault="00527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1BB"/>
    <w:multiLevelType w:val="hybridMultilevel"/>
    <w:tmpl w:val="09AAF8CE"/>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2DC3"/>
    <w:multiLevelType w:val="hybridMultilevel"/>
    <w:tmpl w:val="7D80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E3971"/>
    <w:multiLevelType w:val="hybridMultilevel"/>
    <w:tmpl w:val="22404A80"/>
    <w:lvl w:ilvl="0" w:tplc="71BEEFD4">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37146"/>
    <w:multiLevelType w:val="hybridMultilevel"/>
    <w:tmpl w:val="C53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8133B"/>
    <w:multiLevelType w:val="hybridMultilevel"/>
    <w:tmpl w:val="DEA2A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F3151"/>
    <w:multiLevelType w:val="hybridMultilevel"/>
    <w:tmpl w:val="4088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61C78"/>
    <w:multiLevelType w:val="hybridMultilevel"/>
    <w:tmpl w:val="9EBC2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A7740"/>
    <w:multiLevelType w:val="hybridMultilevel"/>
    <w:tmpl w:val="31B2E6E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32797"/>
    <w:multiLevelType w:val="hybridMultilevel"/>
    <w:tmpl w:val="1254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726F4"/>
    <w:multiLevelType w:val="hybridMultilevel"/>
    <w:tmpl w:val="1A2A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EB0518E"/>
    <w:multiLevelType w:val="hybridMultilevel"/>
    <w:tmpl w:val="07D2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A7CDE"/>
    <w:multiLevelType w:val="hybridMultilevel"/>
    <w:tmpl w:val="4E347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773EC"/>
    <w:multiLevelType w:val="hybridMultilevel"/>
    <w:tmpl w:val="F6F83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B1DC3"/>
    <w:multiLevelType w:val="hybridMultilevel"/>
    <w:tmpl w:val="8FBA4BE6"/>
    <w:lvl w:ilvl="0" w:tplc="7AF0E2AC">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779BE"/>
    <w:multiLevelType w:val="hybridMultilevel"/>
    <w:tmpl w:val="D31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352D2E"/>
    <w:multiLevelType w:val="hybridMultilevel"/>
    <w:tmpl w:val="EAF8A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21B752F"/>
    <w:multiLevelType w:val="hybridMultilevel"/>
    <w:tmpl w:val="B5D41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87FE3"/>
    <w:multiLevelType w:val="hybridMultilevel"/>
    <w:tmpl w:val="F06E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871D75"/>
    <w:multiLevelType w:val="hybridMultilevel"/>
    <w:tmpl w:val="B26C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3184399"/>
    <w:multiLevelType w:val="hybridMultilevel"/>
    <w:tmpl w:val="6C347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B36E71"/>
    <w:multiLevelType w:val="hybridMultilevel"/>
    <w:tmpl w:val="620C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457C60"/>
    <w:multiLevelType w:val="hybridMultilevel"/>
    <w:tmpl w:val="9DD2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AF3E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9"/>
  </w:num>
  <w:num w:numId="3">
    <w:abstractNumId w:val="18"/>
  </w:num>
  <w:num w:numId="4">
    <w:abstractNumId w:val="14"/>
  </w:num>
  <w:num w:numId="5">
    <w:abstractNumId w:val="9"/>
  </w:num>
  <w:num w:numId="6">
    <w:abstractNumId w:val="22"/>
  </w:num>
  <w:num w:numId="7">
    <w:abstractNumId w:val="6"/>
  </w:num>
  <w:num w:numId="8">
    <w:abstractNumId w:val="12"/>
  </w:num>
  <w:num w:numId="9">
    <w:abstractNumId w:val="16"/>
  </w:num>
  <w:num w:numId="10">
    <w:abstractNumId w:val="20"/>
  </w:num>
  <w:num w:numId="11">
    <w:abstractNumId w:val="1"/>
  </w:num>
  <w:num w:numId="12">
    <w:abstractNumId w:val="7"/>
  </w:num>
  <w:num w:numId="13">
    <w:abstractNumId w:val="0"/>
  </w:num>
  <w:num w:numId="14">
    <w:abstractNumId w:val="3"/>
  </w:num>
  <w:num w:numId="15">
    <w:abstractNumId w:val="21"/>
  </w:num>
  <w:num w:numId="16">
    <w:abstractNumId w:val="8"/>
  </w:num>
  <w:num w:numId="17">
    <w:abstractNumId w:val="5"/>
  </w:num>
  <w:num w:numId="18">
    <w:abstractNumId w:val="11"/>
  </w:num>
  <w:num w:numId="19">
    <w:abstractNumId w:val="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 w:numId="23">
    <w:abstractNumId w:val="1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rsids>
    <w:rsidRoot w:val="00EC254F"/>
    <w:rsid w:val="00010991"/>
    <w:rsid w:val="00022D17"/>
    <w:rsid w:val="00023EB2"/>
    <w:rsid w:val="000258E2"/>
    <w:rsid w:val="00055B99"/>
    <w:rsid w:val="00083841"/>
    <w:rsid w:val="00096215"/>
    <w:rsid w:val="00097877"/>
    <w:rsid w:val="000A12B9"/>
    <w:rsid w:val="000A16B9"/>
    <w:rsid w:val="000D01D5"/>
    <w:rsid w:val="000E6FFF"/>
    <w:rsid w:val="000F3023"/>
    <w:rsid w:val="0011096C"/>
    <w:rsid w:val="001212B9"/>
    <w:rsid w:val="00122B01"/>
    <w:rsid w:val="001235DA"/>
    <w:rsid w:val="00124CA7"/>
    <w:rsid w:val="00125BF1"/>
    <w:rsid w:val="00132988"/>
    <w:rsid w:val="0013653B"/>
    <w:rsid w:val="0014291C"/>
    <w:rsid w:val="00147FDE"/>
    <w:rsid w:val="001531DF"/>
    <w:rsid w:val="00153784"/>
    <w:rsid w:val="0016377D"/>
    <w:rsid w:val="00170228"/>
    <w:rsid w:val="00171E78"/>
    <w:rsid w:val="0017258D"/>
    <w:rsid w:val="00173A7B"/>
    <w:rsid w:val="00174C0B"/>
    <w:rsid w:val="00190B93"/>
    <w:rsid w:val="001A3B4F"/>
    <w:rsid w:val="001A481D"/>
    <w:rsid w:val="001B01EA"/>
    <w:rsid w:val="001B40D6"/>
    <w:rsid w:val="001D4A1B"/>
    <w:rsid w:val="001D4C35"/>
    <w:rsid w:val="001D4DAD"/>
    <w:rsid w:val="001E5640"/>
    <w:rsid w:val="0021749B"/>
    <w:rsid w:val="00221E6B"/>
    <w:rsid w:val="00234C77"/>
    <w:rsid w:val="00237E70"/>
    <w:rsid w:val="002458B9"/>
    <w:rsid w:val="00252317"/>
    <w:rsid w:val="002605E6"/>
    <w:rsid w:val="002613F5"/>
    <w:rsid w:val="002A0C88"/>
    <w:rsid w:val="002A1029"/>
    <w:rsid w:val="002A5194"/>
    <w:rsid w:val="002B0D96"/>
    <w:rsid w:val="002C41CF"/>
    <w:rsid w:val="002D3697"/>
    <w:rsid w:val="002F6BA8"/>
    <w:rsid w:val="00304100"/>
    <w:rsid w:val="003072AD"/>
    <w:rsid w:val="00327B88"/>
    <w:rsid w:val="003341AF"/>
    <w:rsid w:val="00352A61"/>
    <w:rsid w:val="00381136"/>
    <w:rsid w:val="003812A3"/>
    <w:rsid w:val="00385EF8"/>
    <w:rsid w:val="00386B1E"/>
    <w:rsid w:val="003913FC"/>
    <w:rsid w:val="00393EF8"/>
    <w:rsid w:val="003A2E89"/>
    <w:rsid w:val="003A3F0E"/>
    <w:rsid w:val="003A6504"/>
    <w:rsid w:val="003B0CBF"/>
    <w:rsid w:val="003B53B3"/>
    <w:rsid w:val="003B53B9"/>
    <w:rsid w:val="003C53B4"/>
    <w:rsid w:val="004406AA"/>
    <w:rsid w:val="00443EC4"/>
    <w:rsid w:val="004540B8"/>
    <w:rsid w:val="004728DA"/>
    <w:rsid w:val="00484EB9"/>
    <w:rsid w:val="00484F40"/>
    <w:rsid w:val="004A0047"/>
    <w:rsid w:val="004A0BEF"/>
    <w:rsid w:val="004C14E1"/>
    <w:rsid w:val="004C3295"/>
    <w:rsid w:val="004C5AED"/>
    <w:rsid w:val="004D541B"/>
    <w:rsid w:val="004E03CC"/>
    <w:rsid w:val="004E22CD"/>
    <w:rsid w:val="004E6312"/>
    <w:rsid w:val="004F7323"/>
    <w:rsid w:val="00504CB2"/>
    <w:rsid w:val="0052364B"/>
    <w:rsid w:val="00527979"/>
    <w:rsid w:val="00534872"/>
    <w:rsid w:val="00537476"/>
    <w:rsid w:val="0053754B"/>
    <w:rsid w:val="00584D8B"/>
    <w:rsid w:val="00595CA1"/>
    <w:rsid w:val="005A2458"/>
    <w:rsid w:val="005E3A4A"/>
    <w:rsid w:val="00602B34"/>
    <w:rsid w:val="00612419"/>
    <w:rsid w:val="00627B9D"/>
    <w:rsid w:val="006366CC"/>
    <w:rsid w:val="00642DCF"/>
    <w:rsid w:val="00650568"/>
    <w:rsid w:val="00652CB5"/>
    <w:rsid w:val="0065471C"/>
    <w:rsid w:val="00672FEE"/>
    <w:rsid w:val="006949E9"/>
    <w:rsid w:val="006959D0"/>
    <w:rsid w:val="006A2906"/>
    <w:rsid w:val="006B0054"/>
    <w:rsid w:val="006B5D8F"/>
    <w:rsid w:val="006D6E76"/>
    <w:rsid w:val="006E6206"/>
    <w:rsid w:val="006F4F87"/>
    <w:rsid w:val="00723FB9"/>
    <w:rsid w:val="007240FC"/>
    <w:rsid w:val="00726953"/>
    <w:rsid w:val="00752C21"/>
    <w:rsid w:val="007600E4"/>
    <w:rsid w:val="00764655"/>
    <w:rsid w:val="00764656"/>
    <w:rsid w:val="00783C4E"/>
    <w:rsid w:val="0078444C"/>
    <w:rsid w:val="00787C08"/>
    <w:rsid w:val="007906FD"/>
    <w:rsid w:val="007A168A"/>
    <w:rsid w:val="007C146B"/>
    <w:rsid w:val="007D2C84"/>
    <w:rsid w:val="007E008C"/>
    <w:rsid w:val="007E12B3"/>
    <w:rsid w:val="007E4AFF"/>
    <w:rsid w:val="007F6CB6"/>
    <w:rsid w:val="007F6EAB"/>
    <w:rsid w:val="00816E81"/>
    <w:rsid w:val="00823C8A"/>
    <w:rsid w:val="008264FF"/>
    <w:rsid w:val="00844150"/>
    <w:rsid w:val="00850323"/>
    <w:rsid w:val="0085198E"/>
    <w:rsid w:val="00852E97"/>
    <w:rsid w:val="00856C80"/>
    <w:rsid w:val="00871CE3"/>
    <w:rsid w:val="008728BC"/>
    <w:rsid w:val="00890286"/>
    <w:rsid w:val="008A11E9"/>
    <w:rsid w:val="008A58C8"/>
    <w:rsid w:val="008C08DD"/>
    <w:rsid w:val="008C1F5F"/>
    <w:rsid w:val="008C29BE"/>
    <w:rsid w:val="008D0651"/>
    <w:rsid w:val="008E4B88"/>
    <w:rsid w:val="008E6E17"/>
    <w:rsid w:val="008F4C66"/>
    <w:rsid w:val="00902FE5"/>
    <w:rsid w:val="009271CA"/>
    <w:rsid w:val="00930E6F"/>
    <w:rsid w:val="00933688"/>
    <w:rsid w:val="00942421"/>
    <w:rsid w:val="00950307"/>
    <w:rsid w:val="009835F6"/>
    <w:rsid w:val="00986EC3"/>
    <w:rsid w:val="009947A7"/>
    <w:rsid w:val="009C4C10"/>
    <w:rsid w:val="009C6C90"/>
    <w:rsid w:val="009C7D93"/>
    <w:rsid w:val="009D7F44"/>
    <w:rsid w:val="009E65C6"/>
    <w:rsid w:val="009E7D17"/>
    <w:rsid w:val="009F2FF4"/>
    <w:rsid w:val="009F5DCB"/>
    <w:rsid w:val="00A02207"/>
    <w:rsid w:val="00A27023"/>
    <w:rsid w:val="00A314C4"/>
    <w:rsid w:val="00A445CB"/>
    <w:rsid w:val="00AB1583"/>
    <w:rsid w:val="00AC13D6"/>
    <w:rsid w:val="00AC5748"/>
    <w:rsid w:val="00AD0E02"/>
    <w:rsid w:val="00AD41DD"/>
    <w:rsid w:val="00AF1FB8"/>
    <w:rsid w:val="00AF3618"/>
    <w:rsid w:val="00AF6C29"/>
    <w:rsid w:val="00B028C9"/>
    <w:rsid w:val="00B46BB3"/>
    <w:rsid w:val="00B52281"/>
    <w:rsid w:val="00B553F1"/>
    <w:rsid w:val="00B556FB"/>
    <w:rsid w:val="00B61560"/>
    <w:rsid w:val="00B65A9A"/>
    <w:rsid w:val="00BA0863"/>
    <w:rsid w:val="00BC2A39"/>
    <w:rsid w:val="00BD62E0"/>
    <w:rsid w:val="00BE5F35"/>
    <w:rsid w:val="00C152E7"/>
    <w:rsid w:val="00C215BA"/>
    <w:rsid w:val="00C40186"/>
    <w:rsid w:val="00C71AA0"/>
    <w:rsid w:val="00C7467C"/>
    <w:rsid w:val="00C74C43"/>
    <w:rsid w:val="00C853E2"/>
    <w:rsid w:val="00C96AC6"/>
    <w:rsid w:val="00C9778A"/>
    <w:rsid w:val="00CB0BDE"/>
    <w:rsid w:val="00CC5BA1"/>
    <w:rsid w:val="00CD6D9F"/>
    <w:rsid w:val="00CE10FC"/>
    <w:rsid w:val="00CF27F0"/>
    <w:rsid w:val="00CF4653"/>
    <w:rsid w:val="00D101CD"/>
    <w:rsid w:val="00D1169E"/>
    <w:rsid w:val="00D11B22"/>
    <w:rsid w:val="00D2454D"/>
    <w:rsid w:val="00D267D1"/>
    <w:rsid w:val="00D32E9C"/>
    <w:rsid w:val="00D3786A"/>
    <w:rsid w:val="00D471B0"/>
    <w:rsid w:val="00D604AE"/>
    <w:rsid w:val="00D7073D"/>
    <w:rsid w:val="00D737CF"/>
    <w:rsid w:val="00D919E0"/>
    <w:rsid w:val="00D94D6D"/>
    <w:rsid w:val="00DB0C0A"/>
    <w:rsid w:val="00DC0CF0"/>
    <w:rsid w:val="00DC1EFB"/>
    <w:rsid w:val="00DC72CF"/>
    <w:rsid w:val="00DE141E"/>
    <w:rsid w:val="00DF6609"/>
    <w:rsid w:val="00E128C9"/>
    <w:rsid w:val="00E15001"/>
    <w:rsid w:val="00E359CC"/>
    <w:rsid w:val="00E37A9D"/>
    <w:rsid w:val="00E407BF"/>
    <w:rsid w:val="00E44094"/>
    <w:rsid w:val="00E46F80"/>
    <w:rsid w:val="00E50577"/>
    <w:rsid w:val="00E517A1"/>
    <w:rsid w:val="00E53201"/>
    <w:rsid w:val="00E55261"/>
    <w:rsid w:val="00E57044"/>
    <w:rsid w:val="00E61488"/>
    <w:rsid w:val="00EA150A"/>
    <w:rsid w:val="00EB0DD6"/>
    <w:rsid w:val="00EC254F"/>
    <w:rsid w:val="00EC50DC"/>
    <w:rsid w:val="00ED357A"/>
    <w:rsid w:val="00EE06A4"/>
    <w:rsid w:val="00EE4A99"/>
    <w:rsid w:val="00EF578D"/>
    <w:rsid w:val="00F460EA"/>
    <w:rsid w:val="00F51874"/>
    <w:rsid w:val="00F5302F"/>
    <w:rsid w:val="00F81AE0"/>
    <w:rsid w:val="00F81CAE"/>
    <w:rsid w:val="00FB1718"/>
    <w:rsid w:val="00FC7E67"/>
    <w:rsid w:val="00FD5E6B"/>
    <w:rsid w:val="00FD7F57"/>
    <w:rsid w:val="00FE34D9"/>
    <w:rsid w:val="00FF2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2F"/>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9C4C10"/>
    <w:pPr>
      <w:keepNext/>
      <w:spacing w:after="120" w:line="240" w:lineRule="auto"/>
      <w:outlineLvl w:val="1"/>
    </w:pPr>
    <w:rPr>
      <w:rFonts w:ascii="Times New Roman" w:eastAsia="Times New Roman" w:hAnsi="Times New Roman"/>
      <w:bCs/>
      <w:iCs/>
      <w:color w:val="000000"/>
      <w:sz w:val="24"/>
      <w:szCs w:val="24"/>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cs="Arial"/>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9C4C10"/>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1">
    <w:name w:val="Body Text1"/>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s="Palatino"/>
      <w:color w:val="000000"/>
      <w:sz w:val="24"/>
      <w:szCs w:val="24"/>
    </w:rPr>
  </w:style>
  <w:style w:type="character" w:customStyle="1" w:styleId="BodytextChar">
    <w:name w:val="Body text Char"/>
    <w:link w:val="BodyText1"/>
    <w:uiPriority w:val="99"/>
    <w:rsid w:val="009C4C10"/>
    <w:rPr>
      <w:rFonts w:ascii="Times New Roman" w:eastAsia="Times New Roman" w:hAnsi="Times New Roman" w:cs="Palatino"/>
      <w:color w:val="000000"/>
      <w:sz w:val="24"/>
      <w:szCs w:val="24"/>
    </w:rPr>
  </w:style>
  <w:style w:type="character" w:styleId="CommentReference">
    <w:name w:val="annotation reference"/>
    <w:uiPriority w:val="99"/>
    <w:rsid w:val="009C4C10"/>
    <w:rPr>
      <w:sz w:val="16"/>
      <w:szCs w:val="16"/>
    </w:rPr>
  </w:style>
  <w:style w:type="paragraph" w:styleId="CommentText">
    <w:name w:val="annotation text"/>
    <w:basedOn w:val="Normal"/>
    <w:link w:val="CommentTextChar"/>
    <w:uiPriority w:val="99"/>
    <w:rsid w:val="009C4C10"/>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uiPriority w:val="99"/>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rFonts w:ascii="Calibri" w:eastAsia="Calibri" w:hAnsi="Calibri"/>
      <w:b/>
      <w:bCs/>
      <w:color w:val="auto"/>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 w:type="table" w:styleId="TableGrid">
    <w:name w:val="Table Grid"/>
    <w:basedOn w:val="TableNormal"/>
    <w:uiPriority w:val="59"/>
    <w:rsid w:val="004A0BE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A0BEF"/>
    <w:rPr>
      <w:color w:val="808080"/>
    </w:rPr>
  </w:style>
  <w:style w:type="paragraph" w:styleId="Title">
    <w:name w:val="Title"/>
    <w:basedOn w:val="Normal"/>
    <w:next w:val="Normal"/>
    <w:link w:val="TitleChar"/>
    <w:qFormat/>
    <w:rsid w:val="00AF6C29"/>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6C2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C215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215BA"/>
    <w:rPr>
      <w:rFonts w:asciiTheme="majorHAnsi" w:eastAsiaTheme="majorEastAsia" w:hAnsiTheme="majorHAnsi" w:cstheme="majorBidi"/>
      <w:i/>
      <w:iCs/>
      <w:color w:val="4F81BD" w:themeColor="accent1"/>
      <w:spacing w:val="15"/>
      <w:sz w:val="24"/>
      <w:szCs w:val="24"/>
    </w:rPr>
  </w:style>
  <w:style w:type="table" w:styleId="LightShading-Accent5">
    <w:name w:val="Light Shading Accent 5"/>
    <w:basedOn w:val="TableNormal"/>
    <w:uiPriority w:val="60"/>
    <w:rsid w:val="004C14E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ubtleEmphasis">
    <w:name w:val="Subtle Emphasis"/>
    <w:basedOn w:val="DefaultParagraphFont"/>
    <w:uiPriority w:val="19"/>
    <w:qFormat/>
    <w:rsid w:val="004C14E1"/>
    <w:rPr>
      <w:i/>
      <w:iCs/>
      <w:color w:val="808080" w:themeColor="text1" w:themeTint="7F"/>
    </w:rPr>
  </w:style>
  <w:style w:type="character" w:styleId="Emphasis">
    <w:name w:val="Emphasis"/>
    <w:basedOn w:val="DefaultParagraphFont"/>
    <w:uiPriority w:val="20"/>
    <w:qFormat/>
    <w:rsid w:val="004C14E1"/>
    <w:rPr>
      <w:i/>
      <w:iCs/>
    </w:rPr>
  </w:style>
  <w:style w:type="paragraph" w:styleId="Caption">
    <w:name w:val="caption"/>
    <w:basedOn w:val="Normal"/>
    <w:next w:val="Normal"/>
    <w:unhideWhenUsed/>
    <w:qFormat/>
    <w:rsid w:val="00850323"/>
    <w:pPr>
      <w:spacing w:before="60" w:after="60" w:line="240" w:lineRule="auto"/>
    </w:pPr>
    <w:rPr>
      <w:rFonts w:ascii="Cambria" w:eastAsia="Times New Roman" w:hAnsi="Cambria"/>
      <w:b/>
      <w:bCs/>
      <w:color w:val="174A7C"/>
      <w:sz w:val="20"/>
      <w:szCs w:val="18"/>
    </w:rPr>
  </w:style>
  <w:style w:type="character" w:styleId="IntenseReference">
    <w:name w:val="Intense Reference"/>
    <w:uiPriority w:val="32"/>
    <w:qFormat/>
    <w:rsid w:val="00850323"/>
    <w:rPr>
      <w:b/>
      <w:bCs/>
      <w:smallCaps/>
      <w:color w:val="C0504D" w:themeColor="accent2"/>
      <w:spacing w:val="5"/>
      <w:u w:val="single"/>
    </w:rPr>
  </w:style>
  <w:style w:type="paragraph" w:styleId="BodyText">
    <w:name w:val="Body Text"/>
    <w:basedOn w:val="Normal"/>
    <w:link w:val="BodyTextChar0"/>
    <w:rsid w:val="00850323"/>
    <w:pPr>
      <w:spacing w:before="120" w:after="120"/>
    </w:pPr>
    <w:rPr>
      <w:rFonts w:ascii="Cambria" w:eastAsia="Times New Roman" w:hAnsi="Cambria"/>
      <w:sz w:val="20"/>
      <w:szCs w:val="24"/>
    </w:rPr>
  </w:style>
  <w:style w:type="character" w:customStyle="1" w:styleId="BodyTextChar0">
    <w:name w:val="Body Text Char"/>
    <w:basedOn w:val="DefaultParagraphFont"/>
    <w:link w:val="BodyText"/>
    <w:rsid w:val="00850323"/>
    <w:rPr>
      <w:rFonts w:ascii="Cambria" w:eastAsia="Times New Roman" w:hAnsi="Cambria"/>
      <w:szCs w:val="24"/>
    </w:rPr>
  </w:style>
  <w:style w:type="table" w:customStyle="1" w:styleId="MediumShading1-Accent12">
    <w:name w:val="Medium Shading 1 - Accent 12"/>
    <w:basedOn w:val="TableNormal"/>
    <w:uiPriority w:val="63"/>
    <w:rsid w:val="00850323"/>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850323"/>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2F"/>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9C4C10"/>
    <w:pPr>
      <w:keepNext/>
      <w:spacing w:after="120" w:line="240" w:lineRule="auto"/>
      <w:outlineLvl w:val="1"/>
    </w:pPr>
    <w:rPr>
      <w:rFonts w:ascii="Times New Roman" w:eastAsia="Times New Roman" w:hAnsi="Times New Roman"/>
      <w:bCs/>
      <w:iCs/>
      <w:color w:val="000000"/>
      <w:sz w:val="24"/>
      <w:szCs w:val="24"/>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cs="Arial"/>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9C4C10"/>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1">
    <w:name w:val="Body Text1"/>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s="Palatino"/>
      <w:color w:val="000000"/>
      <w:sz w:val="24"/>
      <w:szCs w:val="24"/>
    </w:rPr>
  </w:style>
  <w:style w:type="character" w:customStyle="1" w:styleId="BodytextChar">
    <w:name w:val="Body text Char"/>
    <w:link w:val="BodyText1"/>
    <w:uiPriority w:val="99"/>
    <w:rsid w:val="009C4C10"/>
    <w:rPr>
      <w:rFonts w:ascii="Times New Roman" w:eastAsia="Times New Roman" w:hAnsi="Times New Roman" w:cs="Palatino"/>
      <w:color w:val="000000"/>
      <w:sz w:val="24"/>
      <w:szCs w:val="24"/>
    </w:rPr>
  </w:style>
  <w:style w:type="character" w:styleId="CommentReference">
    <w:name w:val="annotation reference"/>
    <w:uiPriority w:val="99"/>
    <w:rsid w:val="009C4C10"/>
    <w:rPr>
      <w:sz w:val="16"/>
      <w:szCs w:val="16"/>
    </w:rPr>
  </w:style>
  <w:style w:type="paragraph" w:styleId="CommentText">
    <w:name w:val="annotation text"/>
    <w:basedOn w:val="Normal"/>
    <w:link w:val="CommentTextChar"/>
    <w:uiPriority w:val="99"/>
    <w:rsid w:val="009C4C10"/>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uiPriority w:val="99"/>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rFonts w:ascii="Calibri" w:eastAsia="Calibri" w:hAnsi="Calibri"/>
      <w:b/>
      <w:bCs/>
      <w:color w:val="auto"/>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 w:type="table" w:styleId="TableGrid">
    <w:name w:val="Table Grid"/>
    <w:basedOn w:val="TableNormal"/>
    <w:uiPriority w:val="59"/>
    <w:rsid w:val="004A0B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0BEF"/>
    <w:rPr>
      <w:color w:val="808080"/>
    </w:rPr>
  </w:style>
  <w:style w:type="paragraph" w:styleId="Title">
    <w:name w:val="Title"/>
    <w:basedOn w:val="Normal"/>
    <w:next w:val="Normal"/>
    <w:link w:val="TitleChar"/>
    <w:qFormat/>
    <w:rsid w:val="00AF6C29"/>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6C2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C215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215BA"/>
    <w:rPr>
      <w:rFonts w:asciiTheme="majorHAnsi" w:eastAsiaTheme="majorEastAsia" w:hAnsiTheme="majorHAnsi" w:cstheme="majorBidi"/>
      <w:i/>
      <w:iCs/>
      <w:color w:val="4F81BD" w:themeColor="accent1"/>
      <w:spacing w:val="15"/>
      <w:sz w:val="24"/>
      <w:szCs w:val="24"/>
    </w:rPr>
  </w:style>
  <w:style w:type="table" w:styleId="LightShading-Accent5">
    <w:name w:val="Light Shading Accent 5"/>
    <w:basedOn w:val="TableNormal"/>
    <w:uiPriority w:val="60"/>
    <w:rsid w:val="004C14E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ubtleEmphasis">
    <w:name w:val="Subtle Emphasis"/>
    <w:basedOn w:val="DefaultParagraphFont"/>
    <w:uiPriority w:val="19"/>
    <w:qFormat/>
    <w:rsid w:val="004C14E1"/>
    <w:rPr>
      <w:i/>
      <w:iCs/>
      <w:color w:val="808080" w:themeColor="text1" w:themeTint="7F"/>
    </w:rPr>
  </w:style>
  <w:style w:type="character" w:styleId="Emphasis">
    <w:name w:val="Emphasis"/>
    <w:basedOn w:val="DefaultParagraphFont"/>
    <w:uiPriority w:val="20"/>
    <w:qFormat/>
    <w:rsid w:val="004C14E1"/>
    <w:rPr>
      <w:i/>
      <w:iCs/>
    </w:rPr>
  </w:style>
  <w:style w:type="paragraph" w:styleId="Caption">
    <w:name w:val="caption"/>
    <w:basedOn w:val="Normal"/>
    <w:next w:val="Normal"/>
    <w:unhideWhenUsed/>
    <w:qFormat/>
    <w:rsid w:val="00850323"/>
    <w:pPr>
      <w:spacing w:before="60" w:after="60" w:line="240" w:lineRule="auto"/>
    </w:pPr>
    <w:rPr>
      <w:rFonts w:ascii="Cambria" w:eastAsia="Times New Roman" w:hAnsi="Cambria"/>
      <w:b/>
      <w:bCs/>
      <w:color w:val="174A7C"/>
      <w:sz w:val="20"/>
      <w:szCs w:val="18"/>
    </w:rPr>
  </w:style>
  <w:style w:type="character" w:styleId="IntenseReference">
    <w:name w:val="Intense Reference"/>
    <w:uiPriority w:val="32"/>
    <w:qFormat/>
    <w:rsid w:val="00850323"/>
    <w:rPr>
      <w:b/>
      <w:bCs/>
      <w:smallCaps/>
      <w:color w:val="C0504D" w:themeColor="accent2"/>
      <w:spacing w:val="5"/>
      <w:u w:val="single"/>
    </w:rPr>
  </w:style>
  <w:style w:type="paragraph" w:styleId="BodyText">
    <w:name w:val="Body Text"/>
    <w:basedOn w:val="Normal"/>
    <w:link w:val="BodyTextChar0"/>
    <w:rsid w:val="00850323"/>
    <w:pPr>
      <w:spacing w:before="120" w:after="120"/>
    </w:pPr>
    <w:rPr>
      <w:rFonts w:ascii="Cambria" w:eastAsia="Times New Roman" w:hAnsi="Cambria"/>
      <w:sz w:val="20"/>
      <w:szCs w:val="24"/>
    </w:rPr>
  </w:style>
  <w:style w:type="character" w:customStyle="1" w:styleId="BodyTextChar0">
    <w:name w:val="Body Text Char"/>
    <w:basedOn w:val="DefaultParagraphFont"/>
    <w:link w:val="BodyText"/>
    <w:rsid w:val="00850323"/>
    <w:rPr>
      <w:rFonts w:ascii="Cambria" w:eastAsia="Times New Roman" w:hAnsi="Cambria"/>
      <w:szCs w:val="24"/>
    </w:rPr>
  </w:style>
  <w:style w:type="table" w:customStyle="1" w:styleId="MediumShading1-Accent12">
    <w:name w:val="Medium Shading 1 - Accent 12"/>
    <w:basedOn w:val="TableNormal"/>
    <w:uiPriority w:val="63"/>
    <w:rsid w:val="00850323"/>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850323"/>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86973597">
      <w:bodyDiv w:val="1"/>
      <w:marLeft w:val="120"/>
      <w:marRight w:val="120"/>
      <w:marTop w:val="0"/>
      <w:marBottom w:val="120"/>
      <w:divBdr>
        <w:top w:val="none" w:sz="0" w:space="0" w:color="auto"/>
        <w:left w:val="none" w:sz="0" w:space="0" w:color="auto"/>
        <w:bottom w:val="none" w:sz="0" w:space="0" w:color="auto"/>
        <w:right w:val="none" w:sz="0" w:space="0" w:color="auto"/>
      </w:divBdr>
      <w:divsChild>
        <w:div w:id="633564327">
          <w:marLeft w:val="0"/>
          <w:marRight w:val="0"/>
          <w:marTop w:val="0"/>
          <w:marBottom w:val="0"/>
          <w:divBdr>
            <w:top w:val="none" w:sz="0" w:space="0" w:color="auto"/>
            <w:left w:val="none" w:sz="0" w:space="0" w:color="auto"/>
            <w:bottom w:val="none" w:sz="0" w:space="0" w:color="auto"/>
            <w:right w:val="none" w:sz="0" w:space="0" w:color="auto"/>
          </w:divBdr>
          <w:divsChild>
            <w:div w:id="75052637">
              <w:marLeft w:val="0"/>
              <w:marRight w:val="0"/>
              <w:marTop w:val="0"/>
              <w:marBottom w:val="0"/>
              <w:divBdr>
                <w:top w:val="none" w:sz="0" w:space="0" w:color="auto"/>
                <w:left w:val="none" w:sz="0" w:space="0" w:color="auto"/>
                <w:bottom w:val="none" w:sz="0" w:space="0" w:color="auto"/>
                <w:right w:val="none" w:sz="0" w:space="0" w:color="auto"/>
              </w:divBdr>
              <w:divsChild>
                <w:div w:id="1513296120">
                  <w:marLeft w:val="0"/>
                  <w:marRight w:val="0"/>
                  <w:marTop w:val="0"/>
                  <w:marBottom w:val="0"/>
                  <w:divBdr>
                    <w:top w:val="none" w:sz="0" w:space="0" w:color="auto"/>
                    <w:left w:val="none" w:sz="0" w:space="0" w:color="auto"/>
                    <w:bottom w:val="none" w:sz="0" w:space="0" w:color="auto"/>
                    <w:right w:val="none" w:sz="0" w:space="0" w:color="auto"/>
                  </w:divBdr>
                  <w:divsChild>
                    <w:div w:id="2063291086">
                      <w:marLeft w:val="0"/>
                      <w:marRight w:val="0"/>
                      <w:marTop w:val="0"/>
                      <w:marBottom w:val="0"/>
                      <w:divBdr>
                        <w:top w:val="none" w:sz="0" w:space="0" w:color="auto"/>
                        <w:left w:val="none" w:sz="0" w:space="0" w:color="auto"/>
                        <w:bottom w:val="none" w:sz="0" w:space="0" w:color="auto"/>
                        <w:right w:val="none" w:sz="0" w:space="0" w:color="auto"/>
                      </w:divBdr>
                      <w:divsChild>
                        <w:div w:id="663553506">
                          <w:marLeft w:val="0"/>
                          <w:marRight w:val="0"/>
                          <w:marTop w:val="0"/>
                          <w:marBottom w:val="0"/>
                          <w:divBdr>
                            <w:top w:val="none" w:sz="0" w:space="0" w:color="auto"/>
                            <w:left w:val="none" w:sz="0" w:space="0" w:color="auto"/>
                            <w:bottom w:val="none" w:sz="0" w:space="0" w:color="auto"/>
                            <w:right w:val="none" w:sz="0" w:space="0" w:color="auto"/>
                          </w:divBdr>
                        </w:div>
                        <w:div w:id="853958283">
                          <w:marLeft w:val="0"/>
                          <w:marRight w:val="0"/>
                          <w:marTop w:val="0"/>
                          <w:marBottom w:val="0"/>
                          <w:divBdr>
                            <w:top w:val="none" w:sz="0" w:space="0" w:color="auto"/>
                            <w:left w:val="none" w:sz="0" w:space="0" w:color="auto"/>
                            <w:bottom w:val="none" w:sz="0" w:space="0" w:color="auto"/>
                            <w:right w:val="none" w:sz="0" w:space="0" w:color="auto"/>
                          </w:divBdr>
                        </w:div>
                        <w:div w:id="481238073">
                          <w:marLeft w:val="0"/>
                          <w:marRight w:val="0"/>
                          <w:marTop w:val="0"/>
                          <w:marBottom w:val="0"/>
                          <w:divBdr>
                            <w:top w:val="none" w:sz="0" w:space="0" w:color="auto"/>
                            <w:left w:val="none" w:sz="0" w:space="0" w:color="auto"/>
                            <w:bottom w:val="none" w:sz="0" w:space="0" w:color="auto"/>
                            <w:right w:val="none" w:sz="0" w:space="0" w:color="auto"/>
                          </w:divBdr>
                        </w:div>
                        <w:div w:id="1357345768">
                          <w:marLeft w:val="0"/>
                          <w:marRight w:val="0"/>
                          <w:marTop w:val="0"/>
                          <w:marBottom w:val="0"/>
                          <w:divBdr>
                            <w:top w:val="none" w:sz="0" w:space="0" w:color="auto"/>
                            <w:left w:val="none" w:sz="0" w:space="0" w:color="auto"/>
                            <w:bottom w:val="none" w:sz="0" w:space="0" w:color="auto"/>
                            <w:right w:val="none" w:sz="0" w:space="0" w:color="auto"/>
                          </w:divBdr>
                        </w:div>
                        <w:div w:id="915942161">
                          <w:marLeft w:val="0"/>
                          <w:marRight w:val="0"/>
                          <w:marTop w:val="0"/>
                          <w:marBottom w:val="0"/>
                          <w:divBdr>
                            <w:top w:val="none" w:sz="0" w:space="0" w:color="auto"/>
                            <w:left w:val="none" w:sz="0" w:space="0" w:color="auto"/>
                            <w:bottom w:val="none" w:sz="0" w:space="0" w:color="auto"/>
                            <w:right w:val="none" w:sz="0" w:space="0" w:color="auto"/>
                          </w:divBdr>
                        </w:div>
                        <w:div w:id="1094011212">
                          <w:marLeft w:val="0"/>
                          <w:marRight w:val="0"/>
                          <w:marTop w:val="0"/>
                          <w:marBottom w:val="0"/>
                          <w:divBdr>
                            <w:top w:val="none" w:sz="0" w:space="0" w:color="auto"/>
                            <w:left w:val="none" w:sz="0" w:space="0" w:color="auto"/>
                            <w:bottom w:val="none" w:sz="0" w:space="0" w:color="auto"/>
                            <w:right w:val="none" w:sz="0" w:space="0" w:color="auto"/>
                          </w:divBdr>
                        </w:div>
                        <w:div w:id="2017413460">
                          <w:marLeft w:val="0"/>
                          <w:marRight w:val="0"/>
                          <w:marTop w:val="0"/>
                          <w:marBottom w:val="0"/>
                          <w:divBdr>
                            <w:top w:val="none" w:sz="0" w:space="0" w:color="auto"/>
                            <w:left w:val="none" w:sz="0" w:space="0" w:color="auto"/>
                            <w:bottom w:val="none" w:sz="0" w:space="0" w:color="auto"/>
                            <w:right w:val="none" w:sz="0" w:space="0" w:color="auto"/>
                          </w:divBdr>
                        </w:div>
                        <w:div w:id="699236037">
                          <w:marLeft w:val="0"/>
                          <w:marRight w:val="0"/>
                          <w:marTop w:val="0"/>
                          <w:marBottom w:val="0"/>
                          <w:divBdr>
                            <w:top w:val="none" w:sz="0" w:space="0" w:color="auto"/>
                            <w:left w:val="none" w:sz="0" w:space="0" w:color="auto"/>
                            <w:bottom w:val="none" w:sz="0" w:space="0" w:color="auto"/>
                            <w:right w:val="none" w:sz="0" w:space="0" w:color="auto"/>
                          </w:divBdr>
                        </w:div>
                        <w:div w:id="2103379214">
                          <w:marLeft w:val="0"/>
                          <w:marRight w:val="0"/>
                          <w:marTop w:val="0"/>
                          <w:marBottom w:val="0"/>
                          <w:divBdr>
                            <w:top w:val="none" w:sz="0" w:space="0" w:color="auto"/>
                            <w:left w:val="none" w:sz="0" w:space="0" w:color="auto"/>
                            <w:bottom w:val="none" w:sz="0" w:space="0" w:color="auto"/>
                            <w:right w:val="none" w:sz="0" w:space="0" w:color="auto"/>
                          </w:divBdr>
                        </w:div>
                        <w:div w:id="1821073411">
                          <w:marLeft w:val="0"/>
                          <w:marRight w:val="0"/>
                          <w:marTop w:val="0"/>
                          <w:marBottom w:val="0"/>
                          <w:divBdr>
                            <w:top w:val="none" w:sz="0" w:space="0" w:color="auto"/>
                            <w:left w:val="none" w:sz="0" w:space="0" w:color="auto"/>
                            <w:bottom w:val="none" w:sz="0" w:space="0" w:color="auto"/>
                            <w:right w:val="none" w:sz="0" w:space="0" w:color="auto"/>
                          </w:divBdr>
                        </w:div>
                        <w:div w:id="1763452625">
                          <w:marLeft w:val="0"/>
                          <w:marRight w:val="0"/>
                          <w:marTop w:val="0"/>
                          <w:marBottom w:val="0"/>
                          <w:divBdr>
                            <w:top w:val="none" w:sz="0" w:space="0" w:color="auto"/>
                            <w:left w:val="none" w:sz="0" w:space="0" w:color="auto"/>
                            <w:bottom w:val="none" w:sz="0" w:space="0" w:color="auto"/>
                            <w:right w:val="none" w:sz="0" w:space="0" w:color="auto"/>
                          </w:divBdr>
                        </w:div>
                        <w:div w:id="879130469">
                          <w:marLeft w:val="0"/>
                          <w:marRight w:val="0"/>
                          <w:marTop w:val="0"/>
                          <w:marBottom w:val="0"/>
                          <w:divBdr>
                            <w:top w:val="none" w:sz="0" w:space="0" w:color="auto"/>
                            <w:left w:val="none" w:sz="0" w:space="0" w:color="auto"/>
                            <w:bottom w:val="none" w:sz="0" w:space="0" w:color="auto"/>
                            <w:right w:val="none" w:sz="0" w:space="0" w:color="auto"/>
                          </w:divBdr>
                        </w:div>
                        <w:div w:id="78672115">
                          <w:marLeft w:val="0"/>
                          <w:marRight w:val="0"/>
                          <w:marTop w:val="0"/>
                          <w:marBottom w:val="0"/>
                          <w:divBdr>
                            <w:top w:val="none" w:sz="0" w:space="0" w:color="auto"/>
                            <w:left w:val="none" w:sz="0" w:space="0" w:color="auto"/>
                            <w:bottom w:val="none" w:sz="0" w:space="0" w:color="auto"/>
                            <w:right w:val="none" w:sz="0" w:space="0" w:color="auto"/>
                          </w:divBdr>
                        </w:div>
                        <w:div w:id="1172182005">
                          <w:marLeft w:val="0"/>
                          <w:marRight w:val="0"/>
                          <w:marTop w:val="0"/>
                          <w:marBottom w:val="0"/>
                          <w:divBdr>
                            <w:top w:val="none" w:sz="0" w:space="0" w:color="auto"/>
                            <w:left w:val="none" w:sz="0" w:space="0" w:color="auto"/>
                            <w:bottom w:val="none" w:sz="0" w:space="0" w:color="auto"/>
                            <w:right w:val="none" w:sz="0" w:space="0" w:color="auto"/>
                          </w:divBdr>
                        </w:div>
                        <w:div w:id="498689840">
                          <w:marLeft w:val="0"/>
                          <w:marRight w:val="0"/>
                          <w:marTop w:val="0"/>
                          <w:marBottom w:val="0"/>
                          <w:divBdr>
                            <w:top w:val="none" w:sz="0" w:space="0" w:color="auto"/>
                            <w:left w:val="none" w:sz="0" w:space="0" w:color="auto"/>
                            <w:bottom w:val="none" w:sz="0" w:space="0" w:color="auto"/>
                            <w:right w:val="none" w:sz="0" w:space="0" w:color="auto"/>
                          </w:divBdr>
                        </w:div>
                        <w:div w:id="821770383">
                          <w:marLeft w:val="0"/>
                          <w:marRight w:val="0"/>
                          <w:marTop w:val="0"/>
                          <w:marBottom w:val="0"/>
                          <w:divBdr>
                            <w:top w:val="none" w:sz="0" w:space="0" w:color="auto"/>
                            <w:left w:val="none" w:sz="0" w:space="0" w:color="auto"/>
                            <w:bottom w:val="none" w:sz="0" w:space="0" w:color="auto"/>
                            <w:right w:val="none" w:sz="0" w:space="0" w:color="auto"/>
                          </w:divBdr>
                        </w:div>
                        <w:div w:id="60250151">
                          <w:marLeft w:val="0"/>
                          <w:marRight w:val="0"/>
                          <w:marTop w:val="0"/>
                          <w:marBottom w:val="0"/>
                          <w:divBdr>
                            <w:top w:val="none" w:sz="0" w:space="0" w:color="auto"/>
                            <w:left w:val="none" w:sz="0" w:space="0" w:color="auto"/>
                            <w:bottom w:val="none" w:sz="0" w:space="0" w:color="auto"/>
                            <w:right w:val="none" w:sz="0" w:space="0" w:color="auto"/>
                          </w:divBdr>
                          <w:divsChild>
                            <w:div w:id="1634827553">
                              <w:marLeft w:val="0"/>
                              <w:marRight w:val="0"/>
                              <w:marTop w:val="0"/>
                              <w:marBottom w:val="0"/>
                              <w:divBdr>
                                <w:top w:val="none" w:sz="0" w:space="0" w:color="auto"/>
                                <w:left w:val="none" w:sz="0" w:space="0" w:color="auto"/>
                                <w:bottom w:val="none" w:sz="0" w:space="0" w:color="auto"/>
                                <w:right w:val="none" w:sz="0" w:space="0" w:color="auto"/>
                              </w:divBdr>
                            </w:div>
                            <w:div w:id="1672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6424">
      <w:bodyDiv w:val="1"/>
      <w:marLeft w:val="0"/>
      <w:marRight w:val="0"/>
      <w:marTop w:val="0"/>
      <w:marBottom w:val="0"/>
      <w:divBdr>
        <w:top w:val="none" w:sz="0" w:space="0" w:color="auto"/>
        <w:left w:val="none" w:sz="0" w:space="0" w:color="auto"/>
        <w:bottom w:val="none" w:sz="0" w:space="0" w:color="auto"/>
        <w:right w:val="none" w:sz="0" w:space="0" w:color="auto"/>
      </w:divBdr>
    </w:div>
    <w:div w:id="282806151">
      <w:bodyDiv w:val="1"/>
      <w:marLeft w:val="0"/>
      <w:marRight w:val="0"/>
      <w:marTop w:val="0"/>
      <w:marBottom w:val="0"/>
      <w:divBdr>
        <w:top w:val="none" w:sz="0" w:space="0" w:color="auto"/>
        <w:left w:val="none" w:sz="0" w:space="0" w:color="auto"/>
        <w:bottom w:val="none" w:sz="0" w:space="0" w:color="auto"/>
        <w:right w:val="none" w:sz="0" w:space="0" w:color="auto"/>
      </w:divBdr>
    </w:div>
    <w:div w:id="355159321">
      <w:bodyDiv w:val="1"/>
      <w:marLeft w:val="0"/>
      <w:marRight w:val="0"/>
      <w:marTop w:val="0"/>
      <w:marBottom w:val="0"/>
      <w:divBdr>
        <w:top w:val="none" w:sz="0" w:space="0" w:color="auto"/>
        <w:left w:val="none" w:sz="0" w:space="0" w:color="auto"/>
        <w:bottom w:val="none" w:sz="0" w:space="0" w:color="auto"/>
        <w:right w:val="none" w:sz="0" w:space="0" w:color="auto"/>
      </w:divBdr>
    </w:div>
    <w:div w:id="359749569">
      <w:bodyDiv w:val="1"/>
      <w:marLeft w:val="0"/>
      <w:marRight w:val="0"/>
      <w:marTop w:val="0"/>
      <w:marBottom w:val="0"/>
      <w:divBdr>
        <w:top w:val="none" w:sz="0" w:space="0" w:color="auto"/>
        <w:left w:val="none" w:sz="0" w:space="0" w:color="auto"/>
        <w:bottom w:val="none" w:sz="0" w:space="0" w:color="auto"/>
        <w:right w:val="none" w:sz="0" w:space="0" w:color="auto"/>
      </w:divBdr>
    </w:div>
    <w:div w:id="482238752">
      <w:bodyDiv w:val="1"/>
      <w:marLeft w:val="0"/>
      <w:marRight w:val="0"/>
      <w:marTop w:val="0"/>
      <w:marBottom w:val="0"/>
      <w:divBdr>
        <w:top w:val="none" w:sz="0" w:space="0" w:color="auto"/>
        <w:left w:val="none" w:sz="0" w:space="0" w:color="auto"/>
        <w:bottom w:val="none" w:sz="0" w:space="0" w:color="auto"/>
        <w:right w:val="none" w:sz="0" w:space="0" w:color="auto"/>
      </w:divBdr>
    </w:div>
    <w:div w:id="507914377">
      <w:bodyDiv w:val="1"/>
      <w:marLeft w:val="0"/>
      <w:marRight w:val="0"/>
      <w:marTop w:val="0"/>
      <w:marBottom w:val="0"/>
      <w:divBdr>
        <w:top w:val="none" w:sz="0" w:space="0" w:color="auto"/>
        <w:left w:val="none" w:sz="0" w:space="0" w:color="auto"/>
        <w:bottom w:val="none" w:sz="0" w:space="0" w:color="auto"/>
        <w:right w:val="none" w:sz="0" w:space="0" w:color="auto"/>
      </w:divBdr>
    </w:div>
    <w:div w:id="606734458">
      <w:bodyDiv w:val="1"/>
      <w:marLeft w:val="120"/>
      <w:marRight w:val="120"/>
      <w:marTop w:val="0"/>
      <w:marBottom w:val="120"/>
      <w:divBdr>
        <w:top w:val="none" w:sz="0" w:space="0" w:color="auto"/>
        <w:left w:val="none" w:sz="0" w:space="0" w:color="auto"/>
        <w:bottom w:val="none" w:sz="0" w:space="0" w:color="auto"/>
        <w:right w:val="none" w:sz="0" w:space="0" w:color="auto"/>
      </w:divBdr>
      <w:divsChild>
        <w:div w:id="1191606102">
          <w:marLeft w:val="0"/>
          <w:marRight w:val="0"/>
          <w:marTop w:val="0"/>
          <w:marBottom w:val="0"/>
          <w:divBdr>
            <w:top w:val="none" w:sz="0" w:space="0" w:color="auto"/>
            <w:left w:val="none" w:sz="0" w:space="0" w:color="auto"/>
            <w:bottom w:val="none" w:sz="0" w:space="0" w:color="auto"/>
            <w:right w:val="none" w:sz="0" w:space="0" w:color="auto"/>
          </w:divBdr>
          <w:divsChild>
            <w:div w:id="1311132809">
              <w:marLeft w:val="0"/>
              <w:marRight w:val="0"/>
              <w:marTop w:val="0"/>
              <w:marBottom w:val="0"/>
              <w:divBdr>
                <w:top w:val="none" w:sz="0" w:space="0" w:color="auto"/>
                <w:left w:val="none" w:sz="0" w:space="0" w:color="auto"/>
                <w:bottom w:val="none" w:sz="0" w:space="0" w:color="auto"/>
                <w:right w:val="none" w:sz="0" w:space="0" w:color="auto"/>
              </w:divBdr>
              <w:divsChild>
                <w:div w:id="9201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9278">
      <w:bodyDiv w:val="1"/>
      <w:marLeft w:val="120"/>
      <w:marRight w:val="120"/>
      <w:marTop w:val="0"/>
      <w:marBottom w:val="120"/>
      <w:divBdr>
        <w:top w:val="none" w:sz="0" w:space="0" w:color="auto"/>
        <w:left w:val="none" w:sz="0" w:space="0" w:color="auto"/>
        <w:bottom w:val="none" w:sz="0" w:space="0" w:color="auto"/>
        <w:right w:val="none" w:sz="0" w:space="0" w:color="auto"/>
      </w:divBdr>
      <w:divsChild>
        <w:div w:id="1424884172">
          <w:marLeft w:val="0"/>
          <w:marRight w:val="0"/>
          <w:marTop w:val="0"/>
          <w:marBottom w:val="0"/>
          <w:divBdr>
            <w:top w:val="none" w:sz="0" w:space="0" w:color="auto"/>
            <w:left w:val="none" w:sz="0" w:space="0" w:color="auto"/>
            <w:bottom w:val="none" w:sz="0" w:space="0" w:color="auto"/>
            <w:right w:val="none" w:sz="0" w:space="0" w:color="auto"/>
          </w:divBdr>
          <w:divsChild>
            <w:div w:id="2048752067">
              <w:marLeft w:val="0"/>
              <w:marRight w:val="0"/>
              <w:marTop w:val="0"/>
              <w:marBottom w:val="0"/>
              <w:divBdr>
                <w:top w:val="none" w:sz="0" w:space="0" w:color="auto"/>
                <w:left w:val="none" w:sz="0" w:space="0" w:color="auto"/>
                <w:bottom w:val="none" w:sz="0" w:space="0" w:color="auto"/>
                <w:right w:val="none" w:sz="0" w:space="0" w:color="auto"/>
              </w:divBdr>
              <w:divsChild>
                <w:div w:id="534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98057">
      <w:bodyDiv w:val="1"/>
      <w:marLeft w:val="120"/>
      <w:marRight w:val="120"/>
      <w:marTop w:val="0"/>
      <w:marBottom w:val="120"/>
      <w:divBdr>
        <w:top w:val="none" w:sz="0" w:space="0" w:color="auto"/>
        <w:left w:val="none" w:sz="0" w:space="0" w:color="auto"/>
        <w:bottom w:val="none" w:sz="0" w:space="0" w:color="auto"/>
        <w:right w:val="none" w:sz="0" w:space="0" w:color="auto"/>
      </w:divBdr>
      <w:divsChild>
        <w:div w:id="1840384032">
          <w:marLeft w:val="0"/>
          <w:marRight w:val="0"/>
          <w:marTop w:val="0"/>
          <w:marBottom w:val="0"/>
          <w:divBdr>
            <w:top w:val="none" w:sz="0" w:space="0" w:color="auto"/>
            <w:left w:val="none" w:sz="0" w:space="0" w:color="auto"/>
            <w:bottom w:val="none" w:sz="0" w:space="0" w:color="auto"/>
            <w:right w:val="none" w:sz="0" w:space="0" w:color="auto"/>
          </w:divBdr>
        </w:div>
      </w:divsChild>
    </w:div>
    <w:div w:id="702365676">
      <w:bodyDiv w:val="1"/>
      <w:marLeft w:val="120"/>
      <w:marRight w:val="120"/>
      <w:marTop w:val="0"/>
      <w:marBottom w:val="120"/>
      <w:divBdr>
        <w:top w:val="none" w:sz="0" w:space="0" w:color="auto"/>
        <w:left w:val="none" w:sz="0" w:space="0" w:color="auto"/>
        <w:bottom w:val="none" w:sz="0" w:space="0" w:color="auto"/>
        <w:right w:val="none" w:sz="0" w:space="0" w:color="auto"/>
      </w:divBdr>
      <w:divsChild>
        <w:div w:id="2132436352">
          <w:marLeft w:val="0"/>
          <w:marRight w:val="0"/>
          <w:marTop w:val="0"/>
          <w:marBottom w:val="0"/>
          <w:divBdr>
            <w:top w:val="none" w:sz="0" w:space="0" w:color="auto"/>
            <w:left w:val="none" w:sz="0" w:space="0" w:color="auto"/>
            <w:bottom w:val="none" w:sz="0" w:space="0" w:color="auto"/>
            <w:right w:val="none" w:sz="0" w:space="0" w:color="auto"/>
          </w:divBdr>
          <w:divsChild>
            <w:div w:id="1868712335">
              <w:marLeft w:val="0"/>
              <w:marRight w:val="0"/>
              <w:marTop w:val="0"/>
              <w:marBottom w:val="0"/>
              <w:divBdr>
                <w:top w:val="none" w:sz="0" w:space="0" w:color="auto"/>
                <w:left w:val="none" w:sz="0" w:space="0" w:color="auto"/>
                <w:bottom w:val="none" w:sz="0" w:space="0" w:color="auto"/>
                <w:right w:val="none" w:sz="0" w:space="0" w:color="auto"/>
              </w:divBdr>
              <w:divsChild>
                <w:div w:id="5372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97076">
      <w:bodyDiv w:val="1"/>
      <w:marLeft w:val="120"/>
      <w:marRight w:val="120"/>
      <w:marTop w:val="0"/>
      <w:marBottom w:val="120"/>
      <w:divBdr>
        <w:top w:val="none" w:sz="0" w:space="0" w:color="auto"/>
        <w:left w:val="none" w:sz="0" w:space="0" w:color="auto"/>
        <w:bottom w:val="none" w:sz="0" w:space="0" w:color="auto"/>
        <w:right w:val="none" w:sz="0" w:space="0" w:color="auto"/>
      </w:divBdr>
      <w:divsChild>
        <w:div w:id="859515739">
          <w:marLeft w:val="0"/>
          <w:marRight w:val="0"/>
          <w:marTop w:val="0"/>
          <w:marBottom w:val="0"/>
          <w:divBdr>
            <w:top w:val="none" w:sz="0" w:space="0" w:color="auto"/>
            <w:left w:val="none" w:sz="0" w:space="0" w:color="auto"/>
            <w:bottom w:val="none" w:sz="0" w:space="0" w:color="auto"/>
            <w:right w:val="none" w:sz="0" w:space="0" w:color="auto"/>
          </w:divBdr>
          <w:divsChild>
            <w:div w:id="1448162369">
              <w:marLeft w:val="0"/>
              <w:marRight w:val="0"/>
              <w:marTop w:val="0"/>
              <w:marBottom w:val="0"/>
              <w:divBdr>
                <w:top w:val="none" w:sz="0" w:space="0" w:color="auto"/>
                <w:left w:val="none" w:sz="0" w:space="0" w:color="auto"/>
                <w:bottom w:val="none" w:sz="0" w:space="0" w:color="auto"/>
                <w:right w:val="none" w:sz="0" w:space="0" w:color="auto"/>
              </w:divBdr>
              <w:divsChild>
                <w:div w:id="1932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9025">
      <w:bodyDiv w:val="1"/>
      <w:marLeft w:val="0"/>
      <w:marRight w:val="0"/>
      <w:marTop w:val="0"/>
      <w:marBottom w:val="0"/>
      <w:divBdr>
        <w:top w:val="none" w:sz="0" w:space="0" w:color="auto"/>
        <w:left w:val="none" w:sz="0" w:space="0" w:color="auto"/>
        <w:bottom w:val="none" w:sz="0" w:space="0" w:color="auto"/>
        <w:right w:val="none" w:sz="0" w:space="0" w:color="auto"/>
      </w:divBdr>
    </w:div>
    <w:div w:id="1001273164">
      <w:bodyDiv w:val="1"/>
      <w:marLeft w:val="120"/>
      <w:marRight w:val="120"/>
      <w:marTop w:val="0"/>
      <w:marBottom w:val="120"/>
      <w:divBdr>
        <w:top w:val="none" w:sz="0" w:space="0" w:color="auto"/>
        <w:left w:val="none" w:sz="0" w:space="0" w:color="auto"/>
        <w:bottom w:val="none" w:sz="0" w:space="0" w:color="auto"/>
        <w:right w:val="none" w:sz="0" w:space="0" w:color="auto"/>
      </w:divBdr>
      <w:divsChild>
        <w:div w:id="713043959">
          <w:marLeft w:val="0"/>
          <w:marRight w:val="0"/>
          <w:marTop w:val="0"/>
          <w:marBottom w:val="0"/>
          <w:divBdr>
            <w:top w:val="none" w:sz="0" w:space="0" w:color="auto"/>
            <w:left w:val="none" w:sz="0" w:space="0" w:color="auto"/>
            <w:bottom w:val="none" w:sz="0" w:space="0" w:color="auto"/>
            <w:right w:val="none" w:sz="0" w:space="0" w:color="auto"/>
          </w:divBdr>
          <w:divsChild>
            <w:div w:id="234559898">
              <w:marLeft w:val="0"/>
              <w:marRight w:val="0"/>
              <w:marTop w:val="0"/>
              <w:marBottom w:val="0"/>
              <w:divBdr>
                <w:top w:val="none" w:sz="0" w:space="0" w:color="auto"/>
                <w:left w:val="none" w:sz="0" w:space="0" w:color="auto"/>
                <w:bottom w:val="none" w:sz="0" w:space="0" w:color="auto"/>
                <w:right w:val="none" w:sz="0" w:space="0" w:color="auto"/>
              </w:divBdr>
              <w:divsChild>
                <w:div w:id="2840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47312">
      <w:bodyDiv w:val="1"/>
      <w:marLeft w:val="120"/>
      <w:marRight w:val="120"/>
      <w:marTop w:val="0"/>
      <w:marBottom w:val="120"/>
      <w:divBdr>
        <w:top w:val="none" w:sz="0" w:space="0" w:color="auto"/>
        <w:left w:val="none" w:sz="0" w:space="0" w:color="auto"/>
        <w:bottom w:val="none" w:sz="0" w:space="0" w:color="auto"/>
        <w:right w:val="none" w:sz="0" w:space="0" w:color="auto"/>
      </w:divBdr>
      <w:divsChild>
        <w:div w:id="666054078">
          <w:marLeft w:val="0"/>
          <w:marRight w:val="0"/>
          <w:marTop w:val="0"/>
          <w:marBottom w:val="0"/>
          <w:divBdr>
            <w:top w:val="none" w:sz="0" w:space="0" w:color="auto"/>
            <w:left w:val="none" w:sz="0" w:space="0" w:color="auto"/>
            <w:bottom w:val="none" w:sz="0" w:space="0" w:color="auto"/>
            <w:right w:val="none" w:sz="0" w:space="0" w:color="auto"/>
          </w:divBdr>
          <w:divsChild>
            <w:div w:id="1254122891">
              <w:marLeft w:val="0"/>
              <w:marRight w:val="0"/>
              <w:marTop w:val="0"/>
              <w:marBottom w:val="0"/>
              <w:divBdr>
                <w:top w:val="none" w:sz="0" w:space="0" w:color="auto"/>
                <w:left w:val="none" w:sz="0" w:space="0" w:color="auto"/>
                <w:bottom w:val="none" w:sz="0" w:space="0" w:color="auto"/>
                <w:right w:val="none" w:sz="0" w:space="0" w:color="auto"/>
              </w:divBdr>
              <w:divsChild>
                <w:div w:id="8486160">
                  <w:marLeft w:val="0"/>
                  <w:marRight w:val="0"/>
                  <w:marTop w:val="0"/>
                  <w:marBottom w:val="0"/>
                  <w:divBdr>
                    <w:top w:val="none" w:sz="0" w:space="0" w:color="auto"/>
                    <w:left w:val="none" w:sz="0" w:space="0" w:color="auto"/>
                    <w:bottom w:val="none" w:sz="0" w:space="0" w:color="auto"/>
                    <w:right w:val="none" w:sz="0" w:space="0" w:color="auto"/>
                  </w:divBdr>
                </w:div>
                <w:div w:id="224416100">
                  <w:marLeft w:val="0"/>
                  <w:marRight w:val="0"/>
                  <w:marTop w:val="0"/>
                  <w:marBottom w:val="0"/>
                  <w:divBdr>
                    <w:top w:val="none" w:sz="0" w:space="0" w:color="auto"/>
                    <w:left w:val="none" w:sz="0" w:space="0" w:color="auto"/>
                    <w:bottom w:val="none" w:sz="0" w:space="0" w:color="auto"/>
                    <w:right w:val="none" w:sz="0" w:space="0" w:color="auto"/>
                  </w:divBdr>
                </w:div>
                <w:div w:id="37164688">
                  <w:marLeft w:val="0"/>
                  <w:marRight w:val="0"/>
                  <w:marTop w:val="0"/>
                  <w:marBottom w:val="0"/>
                  <w:divBdr>
                    <w:top w:val="none" w:sz="0" w:space="0" w:color="auto"/>
                    <w:left w:val="none" w:sz="0" w:space="0" w:color="auto"/>
                    <w:bottom w:val="none" w:sz="0" w:space="0" w:color="auto"/>
                    <w:right w:val="none" w:sz="0" w:space="0" w:color="auto"/>
                  </w:divBdr>
                </w:div>
                <w:div w:id="297995415">
                  <w:marLeft w:val="0"/>
                  <w:marRight w:val="0"/>
                  <w:marTop w:val="0"/>
                  <w:marBottom w:val="0"/>
                  <w:divBdr>
                    <w:top w:val="none" w:sz="0" w:space="0" w:color="auto"/>
                    <w:left w:val="none" w:sz="0" w:space="0" w:color="auto"/>
                    <w:bottom w:val="none" w:sz="0" w:space="0" w:color="auto"/>
                    <w:right w:val="none" w:sz="0" w:space="0" w:color="auto"/>
                  </w:divBdr>
                </w:div>
                <w:div w:id="370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90319">
      <w:bodyDiv w:val="1"/>
      <w:marLeft w:val="120"/>
      <w:marRight w:val="120"/>
      <w:marTop w:val="0"/>
      <w:marBottom w:val="120"/>
      <w:divBdr>
        <w:top w:val="none" w:sz="0" w:space="0" w:color="auto"/>
        <w:left w:val="none" w:sz="0" w:space="0" w:color="auto"/>
        <w:bottom w:val="none" w:sz="0" w:space="0" w:color="auto"/>
        <w:right w:val="none" w:sz="0" w:space="0" w:color="auto"/>
      </w:divBdr>
      <w:divsChild>
        <w:div w:id="1230530423">
          <w:marLeft w:val="0"/>
          <w:marRight w:val="0"/>
          <w:marTop w:val="0"/>
          <w:marBottom w:val="0"/>
          <w:divBdr>
            <w:top w:val="none" w:sz="0" w:space="0" w:color="auto"/>
            <w:left w:val="none" w:sz="0" w:space="0" w:color="auto"/>
            <w:bottom w:val="none" w:sz="0" w:space="0" w:color="auto"/>
            <w:right w:val="none" w:sz="0" w:space="0" w:color="auto"/>
          </w:divBdr>
          <w:divsChild>
            <w:div w:id="121657726">
              <w:marLeft w:val="0"/>
              <w:marRight w:val="0"/>
              <w:marTop w:val="0"/>
              <w:marBottom w:val="0"/>
              <w:divBdr>
                <w:top w:val="none" w:sz="0" w:space="0" w:color="auto"/>
                <w:left w:val="none" w:sz="0" w:space="0" w:color="auto"/>
                <w:bottom w:val="none" w:sz="0" w:space="0" w:color="auto"/>
                <w:right w:val="none" w:sz="0" w:space="0" w:color="auto"/>
              </w:divBdr>
              <w:divsChild>
                <w:div w:id="19848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3880">
      <w:bodyDiv w:val="1"/>
      <w:marLeft w:val="120"/>
      <w:marRight w:val="120"/>
      <w:marTop w:val="0"/>
      <w:marBottom w:val="120"/>
      <w:divBdr>
        <w:top w:val="none" w:sz="0" w:space="0" w:color="auto"/>
        <w:left w:val="none" w:sz="0" w:space="0" w:color="auto"/>
        <w:bottom w:val="none" w:sz="0" w:space="0" w:color="auto"/>
        <w:right w:val="none" w:sz="0" w:space="0" w:color="auto"/>
      </w:divBdr>
      <w:divsChild>
        <w:div w:id="1300300809">
          <w:marLeft w:val="0"/>
          <w:marRight w:val="0"/>
          <w:marTop w:val="0"/>
          <w:marBottom w:val="0"/>
          <w:divBdr>
            <w:top w:val="none" w:sz="0" w:space="0" w:color="auto"/>
            <w:left w:val="none" w:sz="0" w:space="0" w:color="auto"/>
            <w:bottom w:val="none" w:sz="0" w:space="0" w:color="auto"/>
            <w:right w:val="none" w:sz="0" w:space="0" w:color="auto"/>
          </w:divBdr>
          <w:divsChild>
            <w:div w:id="1683626355">
              <w:marLeft w:val="0"/>
              <w:marRight w:val="0"/>
              <w:marTop w:val="0"/>
              <w:marBottom w:val="0"/>
              <w:divBdr>
                <w:top w:val="none" w:sz="0" w:space="0" w:color="auto"/>
                <w:left w:val="none" w:sz="0" w:space="0" w:color="auto"/>
                <w:bottom w:val="none" w:sz="0" w:space="0" w:color="auto"/>
                <w:right w:val="none" w:sz="0" w:space="0" w:color="auto"/>
              </w:divBdr>
              <w:divsChild>
                <w:div w:id="17526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15495">
      <w:bodyDiv w:val="1"/>
      <w:marLeft w:val="0"/>
      <w:marRight w:val="0"/>
      <w:marTop w:val="0"/>
      <w:marBottom w:val="0"/>
      <w:divBdr>
        <w:top w:val="none" w:sz="0" w:space="0" w:color="auto"/>
        <w:left w:val="none" w:sz="0" w:space="0" w:color="auto"/>
        <w:bottom w:val="none" w:sz="0" w:space="0" w:color="auto"/>
        <w:right w:val="none" w:sz="0" w:space="0" w:color="auto"/>
      </w:divBdr>
    </w:div>
    <w:div w:id="17871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sdot.wa.gov/Business/MaterialsLab/QPL.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spokanecity.org/smc/?Section=07.06.17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billinfo/summary.aspx?bill=6086&amp;year=2013"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rrtt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ep.iepco.com/owa/redir.aspx?C=2507a85e597a404f85005d613ffe7c4a&amp;URL=https%3a%2f%2fstatic.spokanecity.org%2fdocuments%2fbusiness%2fdesignstandards%2fgeneral-special-provi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OSFILE3\WWMCOMMON\Sewer\PCBs\SRRTTF\Monitoring%20and%20Studies\Hydroseed\Hydroseed%20Results%20with%20Graphs%20et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percentStacked"/>
        <c:ser>
          <c:idx val="0"/>
          <c:order val="0"/>
          <c:tx>
            <c:strRef>
              <c:f>'2'!$S$166</c:f>
              <c:strCache>
                <c:ptCount val="1"/>
                <c:pt idx="0">
                  <c:v>MonoCB</c:v>
                </c:pt>
              </c:strCache>
            </c:strRef>
          </c:tx>
          <c:cat>
            <c:strLit>
              <c:ptCount val="1"/>
              <c:pt idx="0">
                <c:v>Product#2 Tackifier#2</c:v>
              </c:pt>
            </c:strLit>
          </c:cat>
          <c:val>
            <c:numRef>
              <c:f>'2'!$U$166</c:f>
              <c:numCache>
                <c:formatCode>General</c:formatCode>
                <c:ptCount val="1"/>
              </c:numCache>
            </c:numRef>
          </c:val>
        </c:ser>
        <c:ser>
          <c:idx val="1"/>
          <c:order val="1"/>
          <c:tx>
            <c:strRef>
              <c:f>'2'!$S$167</c:f>
              <c:strCache>
                <c:ptCount val="1"/>
                <c:pt idx="0">
                  <c:v>DiCB</c:v>
                </c:pt>
              </c:strCache>
            </c:strRef>
          </c:tx>
          <c:cat>
            <c:strLit>
              <c:ptCount val="1"/>
              <c:pt idx="0">
                <c:v>Product#2 Tackifier#2</c:v>
              </c:pt>
            </c:strLit>
          </c:cat>
          <c:val>
            <c:numRef>
              <c:f>'2'!$U$167</c:f>
              <c:numCache>
                <c:formatCode>General</c:formatCode>
                <c:ptCount val="1"/>
              </c:numCache>
            </c:numRef>
          </c:val>
        </c:ser>
        <c:ser>
          <c:idx val="2"/>
          <c:order val="2"/>
          <c:tx>
            <c:strRef>
              <c:f>'2'!$S$168</c:f>
              <c:strCache>
                <c:ptCount val="1"/>
                <c:pt idx="0">
                  <c:v>TriCB</c:v>
                </c:pt>
              </c:strCache>
            </c:strRef>
          </c:tx>
          <c:cat>
            <c:strLit>
              <c:ptCount val="1"/>
              <c:pt idx="0">
                <c:v>Product#2 Tackifier#2</c:v>
              </c:pt>
            </c:strLit>
          </c:cat>
          <c:val>
            <c:numRef>
              <c:f>'2'!$U$168</c:f>
              <c:numCache>
                <c:formatCode>General</c:formatCode>
                <c:ptCount val="1"/>
                <c:pt idx="0">
                  <c:v>2.8699999999999997</c:v>
                </c:pt>
              </c:numCache>
            </c:numRef>
          </c:val>
        </c:ser>
        <c:ser>
          <c:idx val="3"/>
          <c:order val="3"/>
          <c:tx>
            <c:strRef>
              <c:f>'2'!$S$169</c:f>
              <c:strCache>
                <c:ptCount val="1"/>
                <c:pt idx="0">
                  <c:v>TetraCB</c:v>
                </c:pt>
              </c:strCache>
            </c:strRef>
          </c:tx>
          <c:cat>
            <c:strLit>
              <c:ptCount val="1"/>
              <c:pt idx="0">
                <c:v>Product#2 Tackifier#2</c:v>
              </c:pt>
            </c:strLit>
          </c:cat>
          <c:val>
            <c:numRef>
              <c:f>'2'!$U$169</c:f>
              <c:numCache>
                <c:formatCode>General</c:formatCode>
                <c:ptCount val="1"/>
                <c:pt idx="0">
                  <c:v>1.47</c:v>
                </c:pt>
              </c:numCache>
            </c:numRef>
          </c:val>
        </c:ser>
        <c:ser>
          <c:idx val="4"/>
          <c:order val="4"/>
          <c:tx>
            <c:strRef>
              <c:f>'2'!$S$170</c:f>
              <c:strCache>
                <c:ptCount val="1"/>
                <c:pt idx="0">
                  <c:v>PentaCB</c:v>
                </c:pt>
              </c:strCache>
            </c:strRef>
          </c:tx>
          <c:cat>
            <c:strLit>
              <c:ptCount val="1"/>
              <c:pt idx="0">
                <c:v>Product#2 Tackifier#2</c:v>
              </c:pt>
            </c:strLit>
          </c:cat>
          <c:val>
            <c:numRef>
              <c:f>'2'!$U$170</c:f>
              <c:numCache>
                <c:formatCode>General</c:formatCode>
                <c:ptCount val="1"/>
                <c:pt idx="0">
                  <c:v>0.35200000000000004</c:v>
                </c:pt>
              </c:numCache>
            </c:numRef>
          </c:val>
        </c:ser>
        <c:ser>
          <c:idx val="5"/>
          <c:order val="5"/>
          <c:tx>
            <c:strRef>
              <c:f>'2'!$S$171</c:f>
              <c:strCache>
                <c:ptCount val="1"/>
                <c:pt idx="0">
                  <c:v>HexaCB</c:v>
                </c:pt>
              </c:strCache>
            </c:strRef>
          </c:tx>
          <c:cat>
            <c:strLit>
              <c:ptCount val="1"/>
              <c:pt idx="0">
                <c:v>Product#2 Tackifier#2</c:v>
              </c:pt>
            </c:strLit>
          </c:cat>
          <c:val>
            <c:numRef>
              <c:f>'2'!$U$171</c:f>
              <c:numCache>
                <c:formatCode>General</c:formatCode>
                <c:ptCount val="1"/>
                <c:pt idx="0">
                  <c:v>0.19800000000000004</c:v>
                </c:pt>
              </c:numCache>
            </c:numRef>
          </c:val>
        </c:ser>
        <c:ser>
          <c:idx val="6"/>
          <c:order val="6"/>
          <c:tx>
            <c:strRef>
              <c:f>'2'!$S$172</c:f>
              <c:strCache>
                <c:ptCount val="1"/>
                <c:pt idx="0">
                  <c:v>HeptaCB</c:v>
                </c:pt>
              </c:strCache>
            </c:strRef>
          </c:tx>
          <c:cat>
            <c:strLit>
              <c:ptCount val="1"/>
              <c:pt idx="0">
                <c:v>Product#2 Tackifier#2</c:v>
              </c:pt>
            </c:strLit>
          </c:cat>
          <c:val>
            <c:numRef>
              <c:f>'2'!$U$172</c:f>
              <c:numCache>
                <c:formatCode>General</c:formatCode>
                <c:ptCount val="1"/>
              </c:numCache>
            </c:numRef>
          </c:val>
        </c:ser>
        <c:ser>
          <c:idx val="7"/>
          <c:order val="7"/>
          <c:tx>
            <c:strRef>
              <c:f>'2'!$S$173</c:f>
              <c:strCache>
                <c:ptCount val="1"/>
                <c:pt idx="0">
                  <c:v>OctaCB</c:v>
                </c:pt>
              </c:strCache>
            </c:strRef>
          </c:tx>
          <c:cat>
            <c:strLit>
              <c:ptCount val="1"/>
              <c:pt idx="0">
                <c:v>Product#2 Tackifier#2</c:v>
              </c:pt>
            </c:strLit>
          </c:cat>
          <c:val>
            <c:numRef>
              <c:f>'2'!$U$173</c:f>
              <c:numCache>
                <c:formatCode>General</c:formatCode>
                <c:ptCount val="1"/>
              </c:numCache>
            </c:numRef>
          </c:val>
        </c:ser>
        <c:ser>
          <c:idx val="8"/>
          <c:order val="8"/>
          <c:tx>
            <c:strRef>
              <c:f>'2'!$S$174</c:f>
              <c:strCache>
                <c:ptCount val="1"/>
                <c:pt idx="0">
                  <c:v>NonaCB</c:v>
                </c:pt>
              </c:strCache>
            </c:strRef>
          </c:tx>
          <c:cat>
            <c:strLit>
              <c:ptCount val="1"/>
              <c:pt idx="0">
                <c:v>Product#2 Tackifier#2</c:v>
              </c:pt>
            </c:strLit>
          </c:cat>
          <c:val>
            <c:numRef>
              <c:f>'2'!$U$174</c:f>
              <c:numCache>
                <c:formatCode>General</c:formatCode>
                <c:ptCount val="1"/>
              </c:numCache>
            </c:numRef>
          </c:val>
        </c:ser>
        <c:ser>
          <c:idx val="9"/>
          <c:order val="9"/>
          <c:tx>
            <c:strRef>
              <c:f>'2'!$S$175</c:f>
              <c:strCache>
                <c:ptCount val="1"/>
                <c:pt idx="0">
                  <c:v>DecaCB</c:v>
                </c:pt>
              </c:strCache>
            </c:strRef>
          </c:tx>
          <c:cat>
            <c:strLit>
              <c:ptCount val="1"/>
              <c:pt idx="0">
                <c:v>Product#2 Tackifier#2</c:v>
              </c:pt>
            </c:strLit>
          </c:cat>
          <c:val>
            <c:numRef>
              <c:f>'2'!$U$175</c:f>
              <c:numCache>
                <c:formatCode>General</c:formatCode>
                <c:ptCount val="1"/>
              </c:numCache>
            </c:numRef>
          </c:val>
        </c:ser>
        <c:dLbls/>
        <c:overlap val="100"/>
        <c:axId val="73400704"/>
        <c:axId val="73402240"/>
      </c:barChart>
      <c:catAx>
        <c:axId val="73400704"/>
        <c:scaling>
          <c:orientation val="minMax"/>
        </c:scaling>
        <c:axPos val="b"/>
        <c:tickLblPos val="nextTo"/>
        <c:crossAx val="73402240"/>
        <c:crosses val="autoZero"/>
        <c:auto val="1"/>
        <c:lblAlgn val="ctr"/>
        <c:lblOffset val="100"/>
      </c:catAx>
      <c:valAx>
        <c:axId val="73402240"/>
        <c:scaling>
          <c:orientation val="minMax"/>
        </c:scaling>
        <c:axPos val="l"/>
        <c:majorGridlines/>
        <c:numFmt formatCode="0%" sourceLinked="1"/>
        <c:tickLblPos val="nextTo"/>
        <c:crossAx val="7340070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EC5E-188A-4E97-A4A2-A4CF18A7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3273</Words>
  <Characters>18658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SRRTTF Hydroseed Pilot Project Results Summary                               </vt:lpstr>
    </vt:vector>
  </TitlesOfParts>
  <Company>Toshiba</Company>
  <LinksUpToDate>false</LinksUpToDate>
  <CharactersWithSpaces>21888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SRRTTF Hydroseed Pilot Project Results Summary</dc:title>
  <dc:creator>Cheri Kaatz</dc:creator>
  <cp:lastModifiedBy>Kara Whitman</cp:lastModifiedBy>
  <cp:revision>2</cp:revision>
  <cp:lastPrinted>2015-08-18T14:47:00Z</cp:lastPrinted>
  <dcterms:created xsi:type="dcterms:W3CDTF">2015-08-28T17:29:00Z</dcterms:created>
  <dcterms:modified xsi:type="dcterms:W3CDTF">2015-08-28T17:29:00Z</dcterms:modified>
</cp:coreProperties>
</file>