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047" w:rsidRDefault="004A0047" w:rsidP="008E4B88">
      <w:pPr>
        <w:pStyle w:val="BasicParagraph"/>
        <w:suppressAutoHyphens/>
        <w:ind w:left="360"/>
        <w:rPr>
          <w:rFonts w:ascii="Times New Roman" w:hAnsi="Times New Roman" w:cs="Times New Roman"/>
          <w:i/>
          <w:iCs/>
          <w:sz w:val="16"/>
          <w:szCs w:val="16"/>
        </w:rPr>
      </w:pPr>
    </w:p>
    <w:p w:rsidR="0080124C" w:rsidRDefault="0080124C" w:rsidP="008E4B88">
      <w:pPr>
        <w:pStyle w:val="BasicParagraph"/>
        <w:suppressAutoHyphens/>
        <w:ind w:left="360"/>
        <w:rPr>
          <w:rFonts w:ascii="Times New Roman" w:hAnsi="Times New Roman" w:cs="Times New Roman"/>
          <w:i/>
          <w:iCs/>
          <w:sz w:val="16"/>
          <w:szCs w:val="16"/>
        </w:rPr>
      </w:pPr>
    </w:p>
    <w:p w:rsidR="0080124C" w:rsidRDefault="0080124C" w:rsidP="008E4B88">
      <w:pPr>
        <w:pStyle w:val="BasicParagraph"/>
        <w:suppressAutoHyphens/>
        <w:ind w:left="360"/>
        <w:rPr>
          <w:rFonts w:ascii="Arial" w:hAnsi="Arial" w:cs="Arial"/>
          <w:iCs/>
        </w:rPr>
      </w:pPr>
    </w:p>
    <w:p w:rsidR="0080124C" w:rsidRDefault="0080124C" w:rsidP="008E4B88">
      <w:pPr>
        <w:pStyle w:val="BasicParagraph"/>
        <w:suppressAutoHyphens/>
        <w:ind w:left="360"/>
        <w:rPr>
          <w:rFonts w:ascii="Arial" w:hAnsi="Arial" w:cs="Arial"/>
          <w:iCs/>
        </w:rPr>
      </w:pPr>
      <w:r>
        <w:rPr>
          <w:rFonts w:ascii="Arial" w:hAnsi="Arial" w:cs="Arial"/>
          <w:iCs/>
        </w:rPr>
        <w:t>September x, 2015</w:t>
      </w:r>
    </w:p>
    <w:p w:rsidR="0080124C" w:rsidRDefault="0080124C" w:rsidP="008E4B88">
      <w:pPr>
        <w:pStyle w:val="BasicParagraph"/>
        <w:suppressAutoHyphens/>
        <w:ind w:left="360"/>
        <w:rPr>
          <w:rFonts w:ascii="Arial" w:hAnsi="Arial" w:cs="Arial"/>
          <w:iCs/>
        </w:rPr>
      </w:pPr>
    </w:p>
    <w:p w:rsidR="0080124C" w:rsidRDefault="0042410C" w:rsidP="008E4B88">
      <w:pPr>
        <w:pStyle w:val="BasicParagraph"/>
        <w:suppressAutoHyphens/>
        <w:ind w:left="360"/>
        <w:rPr>
          <w:rFonts w:ascii="Arial" w:hAnsi="Arial" w:cs="Arial"/>
          <w:iCs/>
        </w:rPr>
      </w:pPr>
      <w:r>
        <w:rPr>
          <w:rFonts w:ascii="Arial" w:hAnsi="Arial" w:cs="Arial"/>
          <w:iCs/>
        </w:rPr>
        <w:t>M</w:t>
      </w:r>
      <w:r w:rsidR="000E1CC7">
        <w:rPr>
          <w:rFonts w:ascii="Arial" w:hAnsi="Arial" w:cs="Arial"/>
          <w:iCs/>
        </w:rPr>
        <w:t>r. Dennis McLerran</w:t>
      </w:r>
    </w:p>
    <w:p w:rsidR="0080124C" w:rsidRDefault="0080124C" w:rsidP="008E4B88">
      <w:pPr>
        <w:pStyle w:val="BasicParagraph"/>
        <w:suppressAutoHyphens/>
        <w:ind w:left="360"/>
        <w:rPr>
          <w:rFonts w:ascii="Arial" w:hAnsi="Arial" w:cs="Arial"/>
          <w:iCs/>
        </w:rPr>
      </w:pPr>
      <w:r>
        <w:rPr>
          <w:rFonts w:ascii="Arial" w:hAnsi="Arial" w:cs="Arial"/>
          <w:iCs/>
        </w:rPr>
        <w:t>US Environmental Protection Agency</w:t>
      </w:r>
    </w:p>
    <w:p w:rsidR="0080124C" w:rsidRDefault="0080124C" w:rsidP="008E4B88">
      <w:pPr>
        <w:pStyle w:val="BasicParagraph"/>
        <w:suppressAutoHyphens/>
        <w:ind w:left="360"/>
        <w:rPr>
          <w:rFonts w:ascii="Arial" w:hAnsi="Arial" w:cs="Arial"/>
          <w:iCs/>
        </w:rPr>
      </w:pPr>
      <w:r>
        <w:rPr>
          <w:rFonts w:ascii="Arial" w:hAnsi="Arial" w:cs="Arial"/>
          <w:iCs/>
        </w:rPr>
        <w:t>120</w:t>
      </w:r>
      <w:r w:rsidR="000E1CC7">
        <w:rPr>
          <w:rFonts w:ascii="Arial" w:hAnsi="Arial" w:cs="Arial"/>
          <w:iCs/>
        </w:rPr>
        <w:t>0</w:t>
      </w:r>
      <w:r>
        <w:rPr>
          <w:rFonts w:ascii="Arial" w:hAnsi="Arial" w:cs="Arial"/>
          <w:iCs/>
        </w:rPr>
        <w:t xml:space="preserve"> Sixth </w:t>
      </w:r>
      <w:r w:rsidR="000E1CC7">
        <w:rPr>
          <w:rFonts w:ascii="Arial" w:hAnsi="Arial" w:cs="Arial"/>
          <w:iCs/>
        </w:rPr>
        <w:t>Avenue, Suite 900</w:t>
      </w:r>
    </w:p>
    <w:p w:rsidR="0080124C" w:rsidRDefault="0080124C" w:rsidP="008E4B88">
      <w:pPr>
        <w:pStyle w:val="BasicParagraph"/>
        <w:suppressAutoHyphens/>
        <w:ind w:left="360"/>
        <w:rPr>
          <w:rFonts w:ascii="Arial" w:hAnsi="Arial" w:cs="Arial"/>
          <w:iCs/>
        </w:rPr>
      </w:pPr>
      <w:r>
        <w:rPr>
          <w:rFonts w:ascii="Arial" w:hAnsi="Arial" w:cs="Arial"/>
          <w:iCs/>
        </w:rPr>
        <w:t>Seattle, WA 9</w:t>
      </w:r>
      <w:r w:rsidR="000E1CC7">
        <w:rPr>
          <w:rFonts w:ascii="Arial" w:hAnsi="Arial" w:cs="Arial"/>
          <w:iCs/>
        </w:rPr>
        <w:t>8101</w:t>
      </w:r>
    </w:p>
    <w:p w:rsidR="0080124C" w:rsidRDefault="0080124C" w:rsidP="008E4B88">
      <w:pPr>
        <w:pStyle w:val="BasicParagraph"/>
        <w:suppressAutoHyphens/>
        <w:ind w:left="360"/>
        <w:rPr>
          <w:rFonts w:ascii="Arial" w:hAnsi="Arial" w:cs="Arial"/>
          <w:iCs/>
        </w:rPr>
      </w:pPr>
    </w:p>
    <w:p w:rsidR="0080124C" w:rsidRDefault="0080124C" w:rsidP="008E4B88">
      <w:pPr>
        <w:pStyle w:val="BasicParagraph"/>
        <w:suppressAutoHyphens/>
        <w:ind w:left="360"/>
        <w:rPr>
          <w:rFonts w:ascii="Arial" w:hAnsi="Arial" w:cs="Arial"/>
          <w:iCs/>
        </w:rPr>
      </w:pPr>
      <w:r>
        <w:rPr>
          <w:rFonts w:ascii="Arial" w:hAnsi="Arial" w:cs="Arial"/>
          <w:iCs/>
        </w:rPr>
        <w:t xml:space="preserve">Dear </w:t>
      </w:r>
      <w:r w:rsidR="0042410C">
        <w:rPr>
          <w:rFonts w:ascii="Arial" w:hAnsi="Arial" w:cs="Arial"/>
          <w:iCs/>
        </w:rPr>
        <w:t>M</w:t>
      </w:r>
      <w:r w:rsidR="000E1CC7">
        <w:rPr>
          <w:rFonts w:ascii="Arial" w:hAnsi="Arial" w:cs="Arial"/>
          <w:iCs/>
        </w:rPr>
        <w:t>r. McLerran</w:t>
      </w:r>
      <w:r>
        <w:rPr>
          <w:rFonts w:ascii="Arial" w:hAnsi="Arial" w:cs="Arial"/>
          <w:iCs/>
        </w:rPr>
        <w:t>:</w:t>
      </w:r>
    </w:p>
    <w:p w:rsidR="0080124C" w:rsidRDefault="0080124C" w:rsidP="008E4B88">
      <w:pPr>
        <w:pStyle w:val="BasicParagraph"/>
        <w:suppressAutoHyphens/>
        <w:ind w:left="360"/>
        <w:rPr>
          <w:rFonts w:ascii="Arial" w:hAnsi="Arial" w:cs="Arial"/>
          <w:iCs/>
        </w:rPr>
      </w:pPr>
    </w:p>
    <w:p w:rsidR="0080124C" w:rsidRDefault="0080124C" w:rsidP="00D65B41">
      <w:pPr>
        <w:pStyle w:val="BasicParagraph"/>
        <w:suppressAutoHyphens/>
        <w:ind w:left="360"/>
        <w:rPr>
          <w:rFonts w:ascii="Arial" w:hAnsi="Arial" w:cs="Arial"/>
          <w:iCs/>
        </w:rPr>
      </w:pPr>
      <w:r>
        <w:rPr>
          <w:rFonts w:ascii="Arial" w:hAnsi="Arial" w:cs="Arial"/>
          <w:iCs/>
        </w:rPr>
        <w:t xml:space="preserve">The Technical Work Group (TWG) of the Spokane River Regional Toxics Task Force (SRRTTF) has reviewed the Environmental Protection Agency’s </w:t>
      </w:r>
      <w:r w:rsidR="00D65B41">
        <w:rPr>
          <w:rFonts w:ascii="Arial" w:hAnsi="Arial" w:cs="Arial"/>
          <w:iCs/>
        </w:rPr>
        <w:t xml:space="preserve">(EPA’s) </w:t>
      </w:r>
      <w:r>
        <w:rPr>
          <w:rFonts w:ascii="Arial" w:hAnsi="Arial" w:cs="Arial"/>
          <w:iCs/>
        </w:rPr>
        <w:t>submittal in response to the Order issued on March 16, 2015 by the U.S. District Court in Sierra Club, et al. v. McLerran (No. 11-CV-1759-BJR).</w:t>
      </w:r>
    </w:p>
    <w:p w:rsidR="00D65B41" w:rsidRDefault="00D65B41" w:rsidP="00D65B41">
      <w:pPr>
        <w:pStyle w:val="BasicParagraph"/>
        <w:suppressAutoHyphens/>
        <w:ind w:left="360"/>
        <w:rPr>
          <w:rFonts w:ascii="Arial" w:hAnsi="Arial" w:cs="Arial"/>
          <w:iCs/>
        </w:rPr>
      </w:pPr>
    </w:p>
    <w:p w:rsidR="00D65B41" w:rsidRDefault="00D65B41" w:rsidP="00D65B41">
      <w:pPr>
        <w:pStyle w:val="BasicParagraph"/>
        <w:suppressAutoHyphens/>
        <w:ind w:left="360"/>
        <w:rPr>
          <w:rFonts w:ascii="Arial" w:hAnsi="Arial" w:cs="Arial"/>
          <w:iCs/>
        </w:rPr>
      </w:pPr>
      <w:r>
        <w:rPr>
          <w:rFonts w:ascii="Arial" w:hAnsi="Arial" w:cs="Arial"/>
          <w:iCs/>
        </w:rPr>
        <w:t>Among other things, EPA’s response to the Court sets out certain milestones for determining if the preparation of a PCB Total Daily Maximum Load (TMDL) by the Washington State Department of Ecology (Ecology) must begin.  The first of these milestones is the completion by the SRRTTF of a “Comprehensive Plan to bring the Spokane River into compliance with applicable water quality standards for PCBs” by December 31, 2016, which is a very short time frame.</w:t>
      </w:r>
    </w:p>
    <w:p w:rsidR="00D65B41" w:rsidRDefault="00D65B41" w:rsidP="00D65B41">
      <w:pPr>
        <w:pStyle w:val="BasicParagraph"/>
        <w:suppressAutoHyphens/>
        <w:ind w:left="360"/>
        <w:rPr>
          <w:rFonts w:ascii="Arial" w:hAnsi="Arial" w:cs="Arial"/>
          <w:iCs/>
        </w:rPr>
      </w:pPr>
    </w:p>
    <w:p w:rsidR="00D65B41" w:rsidRDefault="00D65B41" w:rsidP="00D65B41">
      <w:pPr>
        <w:pStyle w:val="BasicParagraph"/>
        <w:suppressAutoHyphens/>
        <w:ind w:left="360"/>
        <w:rPr>
          <w:rFonts w:ascii="Arial" w:hAnsi="Arial" w:cs="Arial"/>
          <w:iCs/>
        </w:rPr>
      </w:pPr>
      <w:r>
        <w:rPr>
          <w:rFonts w:ascii="Arial" w:hAnsi="Arial" w:cs="Arial"/>
          <w:iCs/>
        </w:rPr>
        <w:t>EPA’s submittal identifies five elements that the Comprehensive Plan should include.  These elements, listed on page 11 of EPA’s submittal to the Court, are:</w:t>
      </w:r>
    </w:p>
    <w:p w:rsidR="00D65B41" w:rsidRDefault="00D65B41" w:rsidP="00D65B41">
      <w:pPr>
        <w:pStyle w:val="BasicParagraph"/>
        <w:suppressAutoHyphens/>
        <w:ind w:left="360"/>
        <w:rPr>
          <w:rFonts w:ascii="Arial" w:hAnsi="Arial" w:cs="Arial"/>
          <w:iCs/>
        </w:rPr>
      </w:pPr>
    </w:p>
    <w:p w:rsidR="00D65B41" w:rsidRDefault="00D65B41" w:rsidP="00D65B41">
      <w:pPr>
        <w:pStyle w:val="BasicParagraph"/>
        <w:numPr>
          <w:ilvl w:val="0"/>
          <w:numId w:val="11"/>
        </w:numPr>
        <w:suppressAutoHyphens/>
        <w:rPr>
          <w:rFonts w:ascii="Arial" w:hAnsi="Arial" w:cs="Arial"/>
          <w:iCs/>
        </w:rPr>
      </w:pPr>
      <w:r>
        <w:rPr>
          <w:rFonts w:ascii="Arial" w:hAnsi="Arial" w:cs="Arial"/>
          <w:iCs/>
        </w:rPr>
        <w:t>A summary of the available data for PCBs in Spokane River water, fish tissue, and sediments</w:t>
      </w:r>
      <w:r w:rsidR="007653FE">
        <w:rPr>
          <w:rFonts w:ascii="Arial" w:hAnsi="Arial" w:cs="Arial"/>
          <w:iCs/>
        </w:rPr>
        <w:t>.</w:t>
      </w:r>
    </w:p>
    <w:p w:rsidR="007653FE" w:rsidRDefault="007653FE" w:rsidP="00D65B41">
      <w:pPr>
        <w:pStyle w:val="BasicParagraph"/>
        <w:numPr>
          <w:ilvl w:val="0"/>
          <w:numId w:val="11"/>
        </w:numPr>
        <w:suppressAutoHyphens/>
        <w:rPr>
          <w:rFonts w:ascii="Arial" w:hAnsi="Arial" w:cs="Arial"/>
          <w:iCs/>
        </w:rPr>
      </w:pPr>
      <w:r>
        <w:rPr>
          <w:rFonts w:ascii="Arial" w:hAnsi="Arial" w:cs="Arial"/>
          <w:iCs/>
        </w:rPr>
        <w:t>A list of the identified sources of PCBs in the Spokane River with estimates of current loadings.</w:t>
      </w:r>
    </w:p>
    <w:p w:rsidR="007653FE" w:rsidRDefault="007653FE" w:rsidP="00D65B41">
      <w:pPr>
        <w:pStyle w:val="BasicParagraph"/>
        <w:numPr>
          <w:ilvl w:val="0"/>
          <w:numId w:val="11"/>
        </w:numPr>
        <w:suppressAutoHyphens/>
        <w:rPr>
          <w:rFonts w:ascii="Arial" w:hAnsi="Arial" w:cs="Arial"/>
          <w:iCs/>
        </w:rPr>
      </w:pPr>
      <w:r>
        <w:rPr>
          <w:rFonts w:ascii="Arial" w:hAnsi="Arial" w:cs="Arial"/>
          <w:iCs/>
        </w:rPr>
        <w:t>A range of BMPs expected to reduce or eliminate PCBs for each source or category of sources.</w:t>
      </w:r>
    </w:p>
    <w:p w:rsidR="007653FE" w:rsidRDefault="007653FE" w:rsidP="00D65B41">
      <w:pPr>
        <w:pStyle w:val="BasicParagraph"/>
        <w:numPr>
          <w:ilvl w:val="0"/>
          <w:numId w:val="11"/>
        </w:numPr>
        <w:suppressAutoHyphens/>
        <w:rPr>
          <w:rFonts w:ascii="Arial" w:hAnsi="Arial" w:cs="Arial"/>
          <w:iCs/>
        </w:rPr>
      </w:pPr>
      <w:r>
        <w:rPr>
          <w:rFonts w:ascii="Arial" w:hAnsi="Arial" w:cs="Arial"/>
          <w:iCs/>
        </w:rPr>
        <w:t>Recommendations for BMP implementation.</w:t>
      </w:r>
    </w:p>
    <w:p w:rsidR="002B35FE" w:rsidRDefault="007653FE" w:rsidP="00D65B41">
      <w:pPr>
        <w:pStyle w:val="BasicParagraph"/>
        <w:numPr>
          <w:ilvl w:val="0"/>
          <w:numId w:val="11"/>
        </w:numPr>
        <w:suppressAutoHyphens/>
        <w:rPr>
          <w:rFonts w:ascii="Arial" w:hAnsi="Arial" w:cs="Arial"/>
          <w:iCs/>
        </w:rPr>
      </w:pPr>
      <w:r>
        <w:rPr>
          <w:rFonts w:ascii="Arial" w:hAnsi="Arial" w:cs="Arial"/>
          <w:iCs/>
        </w:rPr>
        <w:t>Recommendations for future studies to address remaining data gaps.</w:t>
      </w:r>
    </w:p>
    <w:p w:rsidR="002B35FE" w:rsidRDefault="002B35FE" w:rsidP="00D65B41">
      <w:pPr>
        <w:pStyle w:val="BasicParagraph"/>
        <w:numPr>
          <w:ilvl w:val="0"/>
          <w:numId w:val="11"/>
        </w:numPr>
        <w:suppressAutoHyphens/>
        <w:rPr>
          <w:rFonts w:ascii="Arial" w:hAnsi="Arial" w:cs="Arial"/>
          <w:iCs/>
        </w:rPr>
        <w:sectPr w:rsidR="002B35FE" w:rsidSect="003A6504">
          <w:headerReference w:type="default" r:id="rId7"/>
          <w:footerReference w:type="default" r:id="rId8"/>
          <w:type w:val="continuous"/>
          <w:pgSz w:w="12240" w:h="15840"/>
          <w:pgMar w:top="720" w:right="1080" w:bottom="720" w:left="720" w:header="720" w:footer="720" w:gutter="0"/>
          <w:cols w:space="720"/>
          <w:docGrid w:linePitch="360"/>
        </w:sectPr>
      </w:pPr>
    </w:p>
    <w:p w:rsidR="005C6445" w:rsidRDefault="00370D4B" w:rsidP="002B35FE">
      <w:pPr>
        <w:pStyle w:val="ListParagraph"/>
        <w:ind w:left="0"/>
        <w:rPr>
          <w:rFonts w:ascii="Arial" w:hAnsi="Arial" w:cs="Arial"/>
          <w:sz w:val="24"/>
          <w:szCs w:val="24"/>
        </w:rPr>
      </w:pPr>
      <w:r w:rsidRPr="00370D4B">
        <w:rPr>
          <w:rFonts w:ascii="Arial" w:hAnsi="Arial" w:cs="Arial"/>
          <w:sz w:val="24"/>
          <w:szCs w:val="24"/>
        </w:rPr>
        <w:lastRenderedPageBreak/>
        <w:t>EPA’s</w:t>
      </w:r>
      <w:r>
        <w:rPr>
          <w:rFonts w:ascii="Arial" w:hAnsi="Arial" w:cs="Arial"/>
          <w:sz w:val="24"/>
          <w:szCs w:val="24"/>
        </w:rPr>
        <w:t xml:space="preserve"> submittal does not provide any additional details or guidance with respect to the criteria for judging the adequacy of the Comprehensive Plan.  As a result, the SRRTTF, through its TWG will be preparing an outline of what it believes will adequately address each of the five elements that EPA has identified should be included in the Comprehensive Plan.</w:t>
      </w:r>
    </w:p>
    <w:p w:rsidR="00370D4B" w:rsidRDefault="00370D4B" w:rsidP="002B35FE">
      <w:pPr>
        <w:pStyle w:val="ListParagraph"/>
        <w:ind w:left="0"/>
        <w:rPr>
          <w:rFonts w:ascii="Arial" w:hAnsi="Arial" w:cs="Arial"/>
          <w:sz w:val="24"/>
          <w:szCs w:val="24"/>
        </w:rPr>
      </w:pPr>
    </w:p>
    <w:p w:rsidR="0042410C" w:rsidRDefault="00370D4B" w:rsidP="002B35FE">
      <w:pPr>
        <w:pStyle w:val="ListParagraph"/>
        <w:ind w:left="0"/>
        <w:rPr>
          <w:rFonts w:ascii="Arial" w:hAnsi="Arial" w:cs="Arial"/>
          <w:sz w:val="24"/>
          <w:szCs w:val="24"/>
        </w:rPr>
      </w:pPr>
      <w:r>
        <w:rPr>
          <w:rFonts w:ascii="Arial" w:hAnsi="Arial" w:cs="Arial"/>
          <w:sz w:val="24"/>
          <w:szCs w:val="24"/>
        </w:rPr>
        <w:t xml:space="preserve">The SRRTTF requests that EPA identify who or what group will be making the determination of the adequacy of the Comprehensive Plan so that its TWG can work with them </w:t>
      </w:r>
      <w:r w:rsidR="000E1CC7">
        <w:rPr>
          <w:rFonts w:ascii="Arial" w:hAnsi="Arial" w:cs="Arial"/>
          <w:sz w:val="24"/>
          <w:szCs w:val="24"/>
        </w:rPr>
        <w:t xml:space="preserve">and develop </w:t>
      </w:r>
      <w:r>
        <w:rPr>
          <w:rFonts w:ascii="Arial" w:hAnsi="Arial" w:cs="Arial"/>
          <w:sz w:val="24"/>
          <w:szCs w:val="24"/>
        </w:rPr>
        <w:t xml:space="preserve">a clear understanding of how to successfully </w:t>
      </w:r>
      <w:r w:rsidR="0042410C">
        <w:rPr>
          <w:rFonts w:ascii="Arial" w:hAnsi="Arial" w:cs="Arial"/>
          <w:sz w:val="24"/>
          <w:szCs w:val="24"/>
        </w:rPr>
        <w:t>reach</w:t>
      </w:r>
      <w:r>
        <w:rPr>
          <w:rFonts w:ascii="Arial" w:hAnsi="Arial" w:cs="Arial"/>
          <w:sz w:val="24"/>
          <w:szCs w:val="24"/>
        </w:rPr>
        <w:t xml:space="preserve"> this initial December 31, 2016 milestone.</w:t>
      </w:r>
      <w:r w:rsidR="0042410C">
        <w:rPr>
          <w:rFonts w:ascii="Arial" w:hAnsi="Arial" w:cs="Arial"/>
          <w:sz w:val="24"/>
          <w:szCs w:val="24"/>
        </w:rPr>
        <w:t xml:space="preserve">  The SRRTTF respectfully requests that EPA identify who its TWG can begin working with at the earliest possible date so that the TWG can begin this critical work.</w:t>
      </w:r>
    </w:p>
    <w:p w:rsidR="0042410C" w:rsidRDefault="0042410C" w:rsidP="002B35FE">
      <w:pPr>
        <w:pStyle w:val="ListParagraph"/>
        <w:ind w:left="0"/>
        <w:rPr>
          <w:rFonts w:ascii="Arial" w:hAnsi="Arial" w:cs="Arial"/>
          <w:sz w:val="24"/>
          <w:szCs w:val="24"/>
        </w:rPr>
      </w:pPr>
    </w:p>
    <w:p w:rsidR="0042410C" w:rsidRDefault="0042410C" w:rsidP="002B35FE">
      <w:pPr>
        <w:pStyle w:val="ListParagraph"/>
        <w:ind w:left="0"/>
        <w:rPr>
          <w:rFonts w:ascii="Arial" w:hAnsi="Arial" w:cs="Arial"/>
          <w:sz w:val="24"/>
          <w:szCs w:val="24"/>
        </w:rPr>
      </w:pPr>
      <w:r>
        <w:rPr>
          <w:rFonts w:ascii="Arial" w:hAnsi="Arial" w:cs="Arial"/>
          <w:sz w:val="24"/>
          <w:szCs w:val="24"/>
        </w:rPr>
        <w:t>On behalf of the SRRTTF, your early response to this request would be greatly appreciated.  I can be reached at (509) 927-6554.</w:t>
      </w:r>
    </w:p>
    <w:p w:rsidR="0042410C" w:rsidRDefault="0042410C" w:rsidP="002B35FE">
      <w:pPr>
        <w:pStyle w:val="ListParagraph"/>
        <w:ind w:left="0"/>
        <w:rPr>
          <w:rFonts w:ascii="Arial" w:hAnsi="Arial" w:cs="Arial"/>
          <w:sz w:val="24"/>
          <w:szCs w:val="24"/>
        </w:rPr>
      </w:pPr>
    </w:p>
    <w:p w:rsidR="0042410C" w:rsidRDefault="0042410C" w:rsidP="002B35FE">
      <w:pPr>
        <w:pStyle w:val="ListParagraph"/>
        <w:ind w:left="0"/>
        <w:rPr>
          <w:rFonts w:ascii="Arial" w:hAnsi="Arial" w:cs="Arial"/>
          <w:sz w:val="24"/>
          <w:szCs w:val="24"/>
        </w:rPr>
      </w:pPr>
      <w:r>
        <w:rPr>
          <w:rFonts w:ascii="Arial" w:hAnsi="Arial" w:cs="Arial"/>
          <w:sz w:val="24"/>
          <w:szCs w:val="24"/>
        </w:rPr>
        <w:t>Sincerely,</w:t>
      </w:r>
    </w:p>
    <w:p w:rsidR="0042410C" w:rsidRDefault="0042410C" w:rsidP="002B35FE">
      <w:pPr>
        <w:pStyle w:val="ListParagraph"/>
        <w:ind w:left="0"/>
        <w:rPr>
          <w:rFonts w:ascii="Arial" w:hAnsi="Arial" w:cs="Arial"/>
          <w:sz w:val="24"/>
          <w:szCs w:val="24"/>
        </w:rPr>
      </w:pPr>
    </w:p>
    <w:p w:rsidR="0042410C" w:rsidRDefault="0042410C" w:rsidP="002B35FE">
      <w:pPr>
        <w:pStyle w:val="ListParagraph"/>
        <w:ind w:left="0"/>
        <w:rPr>
          <w:rFonts w:ascii="Arial" w:hAnsi="Arial" w:cs="Arial"/>
          <w:sz w:val="24"/>
          <w:szCs w:val="24"/>
        </w:rPr>
      </w:pPr>
    </w:p>
    <w:p w:rsidR="0042410C" w:rsidRDefault="0042410C" w:rsidP="002B35FE">
      <w:pPr>
        <w:pStyle w:val="ListParagraph"/>
        <w:ind w:left="0"/>
        <w:rPr>
          <w:rFonts w:ascii="Arial" w:hAnsi="Arial" w:cs="Arial"/>
          <w:sz w:val="24"/>
          <w:szCs w:val="24"/>
        </w:rPr>
      </w:pPr>
    </w:p>
    <w:p w:rsidR="0042410C" w:rsidRDefault="0042410C" w:rsidP="002B35FE">
      <w:pPr>
        <w:pStyle w:val="ListParagraph"/>
        <w:ind w:left="0"/>
        <w:rPr>
          <w:rFonts w:ascii="Arial" w:hAnsi="Arial" w:cs="Arial"/>
          <w:sz w:val="24"/>
          <w:szCs w:val="24"/>
        </w:rPr>
      </w:pPr>
      <w:r>
        <w:rPr>
          <w:rFonts w:ascii="Arial" w:hAnsi="Arial" w:cs="Arial"/>
          <w:sz w:val="24"/>
          <w:szCs w:val="24"/>
        </w:rPr>
        <w:t>Bernard P. (Bud) Leber, Jr.</w:t>
      </w:r>
    </w:p>
    <w:p w:rsidR="0042410C" w:rsidRDefault="0042410C" w:rsidP="002B35FE">
      <w:pPr>
        <w:pStyle w:val="ListParagraph"/>
        <w:ind w:left="0"/>
        <w:rPr>
          <w:rFonts w:ascii="Arial" w:hAnsi="Arial" w:cs="Arial"/>
          <w:sz w:val="24"/>
          <w:szCs w:val="24"/>
        </w:rPr>
      </w:pPr>
      <w:r>
        <w:rPr>
          <w:rFonts w:ascii="Arial" w:hAnsi="Arial" w:cs="Arial"/>
          <w:sz w:val="24"/>
          <w:szCs w:val="24"/>
        </w:rPr>
        <w:t>Chair, Technical Working Group</w:t>
      </w:r>
    </w:p>
    <w:p w:rsidR="0042410C" w:rsidRDefault="0042410C" w:rsidP="002B35FE">
      <w:pPr>
        <w:pStyle w:val="ListParagraph"/>
        <w:ind w:left="0"/>
        <w:rPr>
          <w:rFonts w:ascii="Arial" w:hAnsi="Arial" w:cs="Arial"/>
          <w:sz w:val="24"/>
          <w:szCs w:val="24"/>
        </w:rPr>
      </w:pPr>
      <w:r>
        <w:rPr>
          <w:rFonts w:ascii="Arial" w:hAnsi="Arial" w:cs="Arial"/>
          <w:sz w:val="24"/>
          <w:szCs w:val="24"/>
        </w:rPr>
        <w:t>Spokane River Regional Toxics Task Force</w:t>
      </w:r>
    </w:p>
    <w:p w:rsidR="000E1CC7" w:rsidRDefault="000E1CC7" w:rsidP="002B35FE">
      <w:pPr>
        <w:pStyle w:val="ListParagraph"/>
        <w:ind w:left="0"/>
        <w:rPr>
          <w:rFonts w:ascii="Arial" w:hAnsi="Arial" w:cs="Arial"/>
          <w:sz w:val="24"/>
          <w:szCs w:val="24"/>
        </w:rPr>
      </w:pPr>
    </w:p>
    <w:p w:rsidR="000E1CC7" w:rsidRDefault="000E1CC7" w:rsidP="002B35FE">
      <w:pPr>
        <w:pStyle w:val="ListParagraph"/>
        <w:ind w:left="0"/>
        <w:rPr>
          <w:rFonts w:ascii="Arial" w:hAnsi="Arial" w:cs="Arial"/>
          <w:sz w:val="24"/>
          <w:szCs w:val="24"/>
        </w:rPr>
      </w:pPr>
      <w:r>
        <w:rPr>
          <w:rFonts w:ascii="Arial" w:hAnsi="Arial" w:cs="Arial"/>
          <w:sz w:val="24"/>
          <w:szCs w:val="24"/>
        </w:rPr>
        <w:t>Cc:</w:t>
      </w:r>
      <w:r>
        <w:rPr>
          <w:rFonts w:ascii="Arial" w:hAnsi="Arial" w:cs="Arial"/>
          <w:sz w:val="24"/>
          <w:szCs w:val="24"/>
        </w:rPr>
        <w:tab/>
        <w:t>Brian Nickel – US EPA Region 10</w:t>
      </w:r>
    </w:p>
    <w:p w:rsidR="0042410C" w:rsidRDefault="0042410C" w:rsidP="002B35FE">
      <w:pPr>
        <w:pStyle w:val="ListParagraph"/>
        <w:ind w:left="0"/>
        <w:rPr>
          <w:rFonts w:ascii="Arial" w:hAnsi="Arial" w:cs="Arial"/>
          <w:sz w:val="24"/>
          <w:szCs w:val="24"/>
        </w:rPr>
      </w:pPr>
    </w:p>
    <w:p w:rsidR="00370D4B" w:rsidRPr="00370D4B" w:rsidRDefault="00370D4B" w:rsidP="002B35FE">
      <w:pPr>
        <w:pStyle w:val="ListParagraph"/>
        <w:ind w:left="0"/>
        <w:rPr>
          <w:rFonts w:ascii="Arial" w:hAnsi="Arial" w:cs="Arial"/>
          <w:sz w:val="24"/>
          <w:szCs w:val="24"/>
        </w:rPr>
      </w:pPr>
      <w:r>
        <w:rPr>
          <w:rFonts w:ascii="Arial" w:hAnsi="Arial" w:cs="Arial"/>
          <w:sz w:val="24"/>
          <w:szCs w:val="24"/>
        </w:rPr>
        <w:t xml:space="preserve"> </w:t>
      </w:r>
    </w:p>
    <w:sectPr w:rsidR="00370D4B" w:rsidRPr="00370D4B" w:rsidSect="002B35FE">
      <w:headerReference w:type="default" r:id="rId9"/>
      <w:footerReference w:type="default" r:id="rId10"/>
      <w:pgSz w:w="12240" w:h="15840"/>
      <w:pgMar w:top="720" w:right="108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F1F" w:rsidRDefault="006A1F1F" w:rsidP="00EC254F">
      <w:pPr>
        <w:spacing w:after="0" w:line="240" w:lineRule="auto"/>
      </w:pPr>
      <w:r>
        <w:separator/>
      </w:r>
    </w:p>
  </w:endnote>
  <w:endnote w:type="continuationSeparator" w:id="0">
    <w:p w:rsidR="006A1F1F" w:rsidRDefault="006A1F1F" w:rsidP="00EC2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Heavy">
    <w:altName w:val="Arial Black"/>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4F" w:rsidRPr="00EC254F" w:rsidRDefault="00EC254F" w:rsidP="00EC254F">
    <w:pPr>
      <w:pStyle w:val="Footer"/>
      <w:jc w:val="center"/>
      <w:rPr>
        <w:color w:val="077AAD"/>
        <w:sz w:val="16"/>
      </w:rPr>
    </w:pPr>
    <w:r>
      <w:rPr>
        <w:noProof/>
      </w:rPr>
      <w:pict>
        <v:line id="Straight Connector 2" o:spid="_x0000_s2049" style="position:absolute;left:0;text-align:left;z-index:251657728;visibility:visible;mso-position-horizontal:center;mso-position-horizontal-relative:page;mso-width-relative:margin;mso-height-relative:margin" from="0,4.4pt" to="54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eC0wEAAJcDAAAOAAAAZHJzL2Uyb0RvYy54bWysU12v0zAMfUfiP0R5Z+0m7mVU667EpvHC&#10;x6QLP8BL0jZSvhSHdfv3OGk3LvCGeEljOz72OXY3Txdr2FlF1N61fLmoOVNOeKld3/Lv3w5v1pxh&#10;AifBeKdaflXIn7avX23G0KiVH7yRKjICcdiMoeVDSqGpKhSDsoALH5SjYOejhURm7CsZYSR0a6pV&#10;XT9Wo48yRC8UInn3U5BvC37XKZG+dh2qxEzLqbdUzljOUz6r7QaaPkIYtJjbgH/owoJ2VPQOtYcE&#10;7EfUf0FZLaJH36WF8LbyXaeFKhyIzbL+g83zAEEVLiQOhrtM+P9gxZfzMTItW77izIGlET2nCLof&#10;Ett550hAH9kq6zQGbOj5zh3jbGE4xkz60kWbv0SHXYq217u26pKYIOfj+mFd1zQCcYtVvxJDxPRR&#10;ecvypeVGu0wbGjh/wkTF6OntSXY7f9DGlNEZx0bau9W7Ag20QZ2BRFVsIE7oes7A9LSaIsUCid5o&#10;mdMzEMb+tDORnYHW4+1hvfywnx4NINXkff+Quy61ENJnLyf3sr75qbcZpvT5G35ueg84TDkllKEo&#10;xbhcX5UNnTlmfSdF8+3k5bUIXWWLpl/S5k3N6/XSpvvL/2n7EwAA//8DAFBLAwQUAAYACAAAACEA&#10;KxJ0INgAAAAFAQAADwAAAGRycy9kb3ducmV2LnhtbEyPzU7DMBCE70i8g7VIXBC16SEKIU4FkeDG&#10;gcADuPHmh9jrKHbb9O3ZcoHjzKxmvi13q3fiiEscA2l42CgQSG2wI/Uavj5f73MQMRmyxgVCDWeM&#10;sKuur0pT2HCiDzw2qRdcQrEwGoaU5kLK2A7oTdyEGYmzLizeJJZLL+1iTlzundwqlUlvRuKFwcxY&#10;D9hOzcFr6OZtNjn30nxn3dtd/T7V9Lietb69WZ+fQCRc098xXPAZHSpm2ocD2SicBn4kacgZ/xKq&#10;XLGx/zVkVcr/9NUPAAAA//8DAFBLAQItABQABgAIAAAAIQC2gziS/gAAAOEBAAATAAAAAAAAAAAA&#10;AAAAAAAAAABbQ29udGVudF9UeXBlc10ueG1sUEsBAi0AFAAGAAgAAAAhADj9If/WAAAAlAEAAAsA&#10;AAAAAAAAAAAAAAAALwEAAF9yZWxzLy5yZWxzUEsBAi0AFAAGAAgAAAAhAF1Ah4LTAQAAlwMAAA4A&#10;AAAAAAAAAAAAAAAALgIAAGRycy9lMm9Eb2MueG1sUEsBAi0AFAAGAAgAAAAhACsSdCDYAAAABQEA&#10;AA8AAAAAAAAAAAAAAAAALQQAAGRycy9kb3ducmV2LnhtbFBLBQYAAAAABAAEAPMAAAAyBQAAAAA=&#10;" strokecolor="#4a7ebb" strokeweight="1pt">
          <w10:wrap anchorx="page"/>
        </v:line>
      </w:pict>
    </w:r>
  </w:p>
  <w:p w:rsidR="00EC254F" w:rsidRPr="00EC254F" w:rsidRDefault="00EC254F" w:rsidP="006F4F87">
    <w:pPr>
      <w:pStyle w:val="Footer"/>
      <w:ind w:right="-360"/>
      <w:jc w:val="center"/>
      <w:rPr>
        <w:color w:val="077AAD"/>
        <w:sz w:val="16"/>
      </w:rPr>
    </w:pPr>
    <w:r w:rsidRPr="00EC254F">
      <w:rPr>
        <w:color w:val="077AAD"/>
        <w:sz w:val="16"/>
      </w:rPr>
      <w:t xml:space="preserve">Avista • City of </w:t>
    </w:r>
    <w:smartTag w:uri="urn:schemas-microsoft-com:office:smarttags" w:element="City">
      <w:smartTag w:uri="urn:schemas-microsoft-com:office:smarttags" w:element="place">
        <w:r w:rsidRPr="00EC254F">
          <w:rPr>
            <w:color w:val="077AAD"/>
            <w:sz w:val="16"/>
          </w:rPr>
          <w:t>Spokane</w:t>
        </w:r>
      </w:smartTag>
    </w:smartTag>
    <w:r w:rsidRPr="00EC254F">
      <w:rPr>
        <w:color w:val="077AAD"/>
        <w:sz w:val="16"/>
      </w:rPr>
      <w:t xml:space="preserve"> • Idaho Department of Environmental Quality • Inland Empire Paper Company • Kaiser Aluminum • </w:t>
    </w:r>
    <w:smartTag w:uri="urn:schemas-microsoft-com:office:smarttags" w:element="place">
      <w:smartTag w:uri="urn:schemas-microsoft-com:office:smarttags" w:element="PlaceType">
        <w:r w:rsidRPr="00EC254F">
          <w:rPr>
            <w:color w:val="077AAD"/>
            <w:sz w:val="16"/>
          </w:rPr>
          <w:t>Lake</w:t>
        </w:r>
      </w:smartTag>
      <w:r w:rsidRPr="00EC254F">
        <w:rPr>
          <w:color w:val="077AAD"/>
          <w:sz w:val="16"/>
        </w:rPr>
        <w:t xml:space="preserve"> </w:t>
      </w:r>
      <w:smartTag w:uri="urn:schemas-microsoft-com:office:smarttags" w:element="PlaceName">
        <w:r w:rsidRPr="00EC254F">
          <w:rPr>
            <w:color w:val="077AAD"/>
            <w:sz w:val="16"/>
          </w:rPr>
          <w:t>Spokane</w:t>
        </w:r>
      </w:smartTag>
    </w:smartTag>
    <w:r w:rsidRPr="00EC254F">
      <w:rPr>
        <w:color w:val="077AAD"/>
        <w:sz w:val="16"/>
      </w:rPr>
      <w:t xml:space="preserve"> Association</w:t>
    </w:r>
  </w:p>
  <w:p w:rsidR="00EC254F" w:rsidRPr="00EC254F" w:rsidRDefault="00EC254F" w:rsidP="006F4F87">
    <w:pPr>
      <w:pStyle w:val="Footer"/>
      <w:ind w:right="-360"/>
      <w:jc w:val="center"/>
      <w:rPr>
        <w:color w:val="077AAD"/>
        <w:sz w:val="16"/>
      </w:rPr>
    </w:pPr>
    <w:smartTag w:uri="urn:schemas-microsoft-com:office:smarttags" w:element="City">
      <w:smartTag w:uri="urn:schemas-microsoft-com:office:smarttags" w:element="place">
        <w:r w:rsidRPr="00EC254F">
          <w:rPr>
            <w:color w:val="077AAD"/>
            <w:sz w:val="16"/>
          </w:rPr>
          <w:t>Liberty</w:t>
        </w:r>
      </w:smartTag>
    </w:smartTag>
    <w:r w:rsidRPr="00EC254F">
      <w:rPr>
        <w:color w:val="077AAD"/>
        <w:sz w:val="16"/>
      </w:rPr>
      <w:t xml:space="preserve"> </w:t>
    </w:r>
    <w:smartTag w:uri="urn:schemas-microsoft-com:office:smarttags" w:element="place">
      <w:smartTag w:uri="urn:schemas-microsoft-com:office:smarttags" w:element="PlaceType">
        <w:r w:rsidRPr="00EC254F">
          <w:rPr>
            <w:color w:val="077AAD"/>
            <w:sz w:val="16"/>
          </w:rPr>
          <w:t>Lake</w:t>
        </w:r>
      </w:smartTag>
      <w:r w:rsidRPr="00EC254F">
        <w:rPr>
          <w:color w:val="077AAD"/>
          <w:sz w:val="16"/>
        </w:rPr>
        <w:t xml:space="preserve"> </w:t>
      </w:r>
      <w:smartTag w:uri="urn:schemas-microsoft-com:office:smarttags" w:element="PlaceName">
        <w:r w:rsidRPr="00EC254F">
          <w:rPr>
            <w:color w:val="077AAD"/>
            <w:sz w:val="16"/>
          </w:rPr>
          <w:t>Sewer</w:t>
        </w:r>
      </w:smartTag>
    </w:smartTag>
    <w:r w:rsidRPr="00EC254F">
      <w:rPr>
        <w:color w:val="077AAD"/>
        <w:sz w:val="16"/>
      </w:rPr>
      <w:t xml:space="preserve"> and Water District • </w:t>
    </w:r>
    <w:smartTag w:uri="urn:schemas-microsoft-com:office:smarttags" w:element="place">
      <w:smartTag w:uri="urn:schemas-microsoft-com:office:smarttags" w:element="PlaceName">
        <w:r w:rsidRPr="00EC254F">
          <w:rPr>
            <w:color w:val="077AAD"/>
            <w:sz w:val="16"/>
          </w:rPr>
          <w:t>Spokane</w:t>
        </w:r>
      </w:smartTag>
      <w:r w:rsidRPr="00EC254F">
        <w:rPr>
          <w:color w:val="077AAD"/>
          <w:sz w:val="16"/>
        </w:rPr>
        <w:t xml:space="preserve"> </w:t>
      </w:r>
      <w:smartTag w:uri="urn:schemas-microsoft-com:office:smarttags" w:element="PlaceType">
        <w:r w:rsidRPr="00EC254F">
          <w:rPr>
            <w:color w:val="077AAD"/>
            <w:sz w:val="16"/>
          </w:rPr>
          <w:t>County</w:t>
        </w:r>
      </w:smartTag>
    </w:smartTag>
    <w:r w:rsidRPr="00EC254F">
      <w:rPr>
        <w:color w:val="077AAD"/>
        <w:sz w:val="16"/>
      </w:rPr>
      <w:t xml:space="preserve"> • Spokane Regional Health District • </w:t>
    </w:r>
    <w:smartTag w:uri="urn:schemas-microsoft-com:office:smarttags" w:element="City">
      <w:smartTag w:uri="urn:schemas-microsoft-com:office:smarttags" w:element="place">
        <w:r w:rsidRPr="00EC254F">
          <w:rPr>
            <w:color w:val="077AAD"/>
            <w:sz w:val="16"/>
          </w:rPr>
          <w:t>Spokane</w:t>
        </w:r>
      </w:smartTag>
    </w:smartTag>
    <w:r w:rsidRPr="00EC254F">
      <w:rPr>
        <w:color w:val="077AAD"/>
        <w:sz w:val="16"/>
      </w:rPr>
      <w:t xml:space="preserve"> Riverkeeper • The Lands Council</w:t>
    </w:r>
  </w:p>
  <w:p w:rsidR="00EC254F" w:rsidRPr="00EC254F" w:rsidRDefault="00EC254F" w:rsidP="006F4F87">
    <w:pPr>
      <w:pStyle w:val="Footer"/>
      <w:ind w:right="-360"/>
      <w:jc w:val="center"/>
      <w:rPr>
        <w:color w:val="077AAD"/>
        <w:sz w:val="16"/>
      </w:rPr>
    </w:pPr>
    <w:r w:rsidRPr="00EC254F">
      <w:rPr>
        <w:color w:val="077AAD"/>
        <w:sz w:val="16"/>
      </w:rPr>
      <w:t>US Environmental Protection Agency • Washington State Department of Health • Washington State Department of Ecology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FE" w:rsidRPr="002B35FE" w:rsidRDefault="002B35FE" w:rsidP="002B35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F1F" w:rsidRDefault="006A1F1F" w:rsidP="00EC254F">
      <w:pPr>
        <w:spacing w:after="0" w:line="240" w:lineRule="auto"/>
      </w:pPr>
      <w:r>
        <w:separator/>
      </w:r>
    </w:p>
  </w:footnote>
  <w:footnote w:type="continuationSeparator" w:id="0">
    <w:p w:rsidR="006A1F1F" w:rsidRDefault="006A1F1F" w:rsidP="00EC25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4F" w:rsidRDefault="00B14FE2">
    <w:pPr>
      <w:pStyle w:val="Header"/>
      <w:rPr>
        <w:noProof/>
      </w:rPr>
    </w:pPr>
    <w:r>
      <w:rPr>
        <w:noProof/>
      </w:rPr>
      <w:drawing>
        <wp:inline distT="0" distB="0" distL="0" distR="0">
          <wp:extent cx="6858000" cy="661670"/>
          <wp:effectExtent l="19050" t="0" r="0" b="0"/>
          <wp:docPr id="1" name="Picture 1" descr="SRRTT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RTTF2"/>
                  <pic:cNvPicPr>
                    <a:picLocks noChangeAspect="1" noChangeArrowheads="1"/>
                  </pic:cNvPicPr>
                </pic:nvPicPr>
                <pic:blipFill>
                  <a:blip r:embed="rId1"/>
                  <a:srcRect/>
                  <a:stretch>
                    <a:fillRect/>
                  </a:stretch>
                </pic:blipFill>
                <pic:spPr bwMode="auto">
                  <a:xfrm>
                    <a:off x="0" y="0"/>
                    <a:ext cx="6858000" cy="661670"/>
                  </a:xfrm>
                  <a:prstGeom prst="rect">
                    <a:avLst/>
                  </a:prstGeom>
                  <a:noFill/>
                  <a:ln w="9525">
                    <a:noFill/>
                    <a:miter lim="800000"/>
                    <a:headEnd/>
                    <a:tailEnd/>
                  </a:ln>
                </pic:spPr>
              </pic:pic>
            </a:graphicData>
          </a:graphic>
        </wp:inline>
      </w:drawing>
    </w:r>
  </w:p>
  <w:p w:rsidR="007D12FD" w:rsidRPr="007D12FD" w:rsidRDefault="007D12FD" w:rsidP="007D12FD">
    <w:pPr>
      <w:pStyle w:val="Header"/>
      <w:jc w:val="center"/>
      <w:rPr>
        <w:sz w:val="26"/>
      </w:rPr>
    </w:pPr>
    <w:r w:rsidRPr="007D12FD">
      <w:rPr>
        <w:color w:val="077AAD"/>
        <w:sz w:val="20"/>
      </w:rPr>
      <w:t>P.O</w:t>
    </w:r>
    <w:r>
      <w:rPr>
        <w:color w:val="077AAD"/>
        <w:sz w:val="20"/>
      </w:rPr>
      <w:t>.</w:t>
    </w:r>
    <w:r w:rsidRPr="007D12FD">
      <w:rPr>
        <w:color w:val="077AAD"/>
        <w:sz w:val="20"/>
      </w:rPr>
      <w:t xml:space="preserve"> Box </w:t>
    </w:r>
    <w:r>
      <w:rPr>
        <w:color w:val="077AAD"/>
        <w:sz w:val="20"/>
      </w:rPr>
      <w:t>3965 | Spokane, WA  99220-3965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FE" w:rsidRPr="002B35FE" w:rsidRDefault="002B35FE" w:rsidP="002B35FE">
    <w:pPr>
      <w:pStyle w:val="Header"/>
      <w:rPr>
        <w:rFonts w:ascii="Arial" w:hAnsi="Arial" w:cs="Arial"/>
        <w:sz w:val="20"/>
        <w:szCs w:val="20"/>
      </w:rPr>
    </w:pPr>
    <w:r w:rsidRPr="002B35FE">
      <w:rPr>
        <w:rFonts w:ascii="Arial" w:hAnsi="Arial" w:cs="Arial"/>
        <w:sz w:val="20"/>
        <w:szCs w:val="20"/>
      </w:rPr>
      <w:t>M</w:t>
    </w:r>
    <w:r w:rsidR="000E1CC7">
      <w:rPr>
        <w:rFonts w:ascii="Arial" w:hAnsi="Arial" w:cs="Arial"/>
        <w:sz w:val="20"/>
        <w:szCs w:val="20"/>
      </w:rPr>
      <w:t>r. Dennis McLerran</w:t>
    </w:r>
  </w:p>
  <w:p w:rsidR="002B35FE" w:rsidRPr="002B35FE" w:rsidRDefault="002B35FE" w:rsidP="002B35FE">
    <w:pPr>
      <w:pStyle w:val="Header"/>
      <w:rPr>
        <w:rFonts w:ascii="Arial" w:hAnsi="Arial" w:cs="Arial"/>
        <w:sz w:val="20"/>
        <w:szCs w:val="20"/>
      </w:rPr>
    </w:pPr>
    <w:r w:rsidRPr="002B35FE">
      <w:rPr>
        <w:rFonts w:ascii="Arial" w:hAnsi="Arial" w:cs="Arial"/>
        <w:sz w:val="20"/>
        <w:szCs w:val="20"/>
      </w:rPr>
      <w:t>September x, 2015</w:t>
    </w:r>
  </w:p>
  <w:p w:rsidR="002B35FE" w:rsidRPr="002B35FE" w:rsidRDefault="002B35FE" w:rsidP="002B35FE">
    <w:pPr>
      <w:pStyle w:val="Header"/>
      <w:rPr>
        <w:rFonts w:ascii="Arial" w:hAnsi="Arial" w:cs="Arial"/>
        <w:sz w:val="20"/>
        <w:szCs w:val="20"/>
      </w:rPr>
    </w:pPr>
    <w:r w:rsidRPr="002B35FE">
      <w:rPr>
        <w:rFonts w:ascii="Arial" w:hAnsi="Arial" w:cs="Arial"/>
        <w:sz w:val="20"/>
        <w:szCs w:val="20"/>
      </w:rPr>
      <w:t xml:space="preserve">Page 2 of </w:t>
    </w:r>
    <w:r w:rsidR="000E1CC7">
      <w:rPr>
        <w:rFonts w:ascii="Arial" w:hAnsi="Arial" w:cs="Arial"/>
        <w:sz w:val="20"/>
        <w:szCs w:val="20"/>
      </w:rPr>
      <w:t>2</w:t>
    </w:r>
  </w:p>
  <w:p w:rsidR="002B35FE" w:rsidRPr="002B35FE" w:rsidRDefault="002B35FE" w:rsidP="002B35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2AA2"/>
    <w:multiLevelType w:val="hybridMultilevel"/>
    <w:tmpl w:val="990E2F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25C7656"/>
    <w:multiLevelType w:val="hybridMultilevel"/>
    <w:tmpl w:val="1F7078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B343506"/>
    <w:multiLevelType w:val="hybridMultilevel"/>
    <w:tmpl w:val="F03E268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3">
    <w:nsid w:val="2D0726F4"/>
    <w:multiLevelType w:val="hybridMultilevel"/>
    <w:tmpl w:val="1A2A3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07940E0"/>
    <w:multiLevelType w:val="hybridMultilevel"/>
    <w:tmpl w:val="0832B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B779BE"/>
    <w:multiLevelType w:val="hybridMultilevel"/>
    <w:tmpl w:val="D31A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F27931"/>
    <w:multiLevelType w:val="multilevel"/>
    <w:tmpl w:val="580AE07E"/>
    <w:lvl w:ilvl="0">
      <w:start w:val="1"/>
      <w:numFmt w:val="decimal"/>
      <w:lvlText w:val="%1.0"/>
      <w:lvlJc w:val="left"/>
      <w:pPr>
        <w:ind w:left="1185" w:hanging="465"/>
      </w:pPr>
      <w:rPr>
        <w:rFonts w:hint="default"/>
      </w:rPr>
    </w:lvl>
    <w:lvl w:ilvl="1">
      <w:numFmt w:val="decimal"/>
      <w:lvlText w:val="%1.%2"/>
      <w:lvlJc w:val="left"/>
      <w:pPr>
        <w:ind w:left="1905" w:hanging="465"/>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7">
    <w:nsid w:val="69871D75"/>
    <w:multiLevelType w:val="hybridMultilevel"/>
    <w:tmpl w:val="B26C6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3184399"/>
    <w:multiLevelType w:val="hybridMultilevel"/>
    <w:tmpl w:val="6C347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9E33B11"/>
    <w:multiLevelType w:val="hybridMultilevel"/>
    <w:tmpl w:val="61A6742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3"/>
    <w:lvlOverride w:ilvl="0"/>
    <w:lvlOverride w:ilvl="1"/>
    <w:lvlOverride w:ilvl="2"/>
    <w:lvlOverride w:ilvl="3"/>
    <w:lvlOverride w:ilvl="4"/>
    <w:lvlOverride w:ilvl="5"/>
    <w:lvlOverride w:ilvl="6"/>
    <w:lvlOverride w:ilvl="7"/>
    <w:lvlOverride w:ilvl="8"/>
  </w:num>
  <w:num w:numId="3">
    <w:abstractNumId w:val="7"/>
  </w:num>
  <w:num w:numId="4">
    <w:abstractNumId w:val="5"/>
  </w:num>
  <w:num w:numId="5">
    <w:abstractNumId w:val="3"/>
  </w:num>
  <w:num w:numId="6">
    <w:abstractNumId w:val="9"/>
  </w:num>
  <w:num w:numId="7">
    <w:abstractNumId w:val="0"/>
  </w:num>
  <w:num w:numId="8">
    <w:abstractNumId w:val="4"/>
  </w:num>
  <w:num w:numId="9">
    <w:abstractNumId w:val="6"/>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C254F"/>
    <w:rsid w:val="00023EB2"/>
    <w:rsid w:val="000A16B9"/>
    <w:rsid w:val="000B32D2"/>
    <w:rsid w:val="000E1CC7"/>
    <w:rsid w:val="0017014C"/>
    <w:rsid w:val="00173A7B"/>
    <w:rsid w:val="001C4B3A"/>
    <w:rsid w:val="001E5640"/>
    <w:rsid w:val="00234C77"/>
    <w:rsid w:val="002458B9"/>
    <w:rsid w:val="00252317"/>
    <w:rsid w:val="002613F5"/>
    <w:rsid w:val="002A0C88"/>
    <w:rsid w:val="002B35FE"/>
    <w:rsid w:val="002F7016"/>
    <w:rsid w:val="00352A61"/>
    <w:rsid w:val="00370D4B"/>
    <w:rsid w:val="003A6504"/>
    <w:rsid w:val="0042410C"/>
    <w:rsid w:val="004406AA"/>
    <w:rsid w:val="00443EC4"/>
    <w:rsid w:val="00451BD8"/>
    <w:rsid w:val="004540B8"/>
    <w:rsid w:val="004738AE"/>
    <w:rsid w:val="00484EB9"/>
    <w:rsid w:val="004A0047"/>
    <w:rsid w:val="004C3295"/>
    <w:rsid w:val="004F7323"/>
    <w:rsid w:val="00504CB2"/>
    <w:rsid w:val="00534872"/>
    <w:rsid w:val="00546E0D"/>
    <w:rsid w:val="00584D8B"/>
    <w:rsid w:val="005A2458"/>
    <w:rsid w:val="005B3EE6"/>
    <w:rsid w:val="005C6445"/>
    <w:rsid w:val="005E3A4A"/>
    <w:rsid w:val="00627B9D"/>
    <w:rsid w:val="00672FEE"/>
    <w:rsid w:val="006959D0"/>
    <w:rsid w:val="006A1F1F"/>
    <w:rsid w:val="006D6E76"/>
    <w:rsid w:val="006E6206"/>
    <w:rsid w:val="006F4F87"/>
    <w:rsid w:val="00723FB9"/>
    <w:rsid w:val="00726953"/>
    <w:rsid w:val="007653FE"/>
    <w:rsid w:val="0078444C"/>
    <w:rsid w:val="007D12FD"/>
    <w:rsid w:val="007E72DC"/>
    <w:rsid w:val="0080124C"/>
    <w:rsid w:val="0085198E"/>
    <w:rsid w:val="0086717E"/>
    <w:rsid w:val="008B49DA"/>
    <w:rsid w:val="008C29BE"/>
    <w:rsid w:val="008E4B88"/>
    <w:rsid w:val="008F4C66"/>
    <w:rsid w:val="009268B3"/>
    <w:rsid w:val="00942421"/>
    <w:rsid w:val="009835F6"/>
    <w:rsid w:val="009C4C10"/>
    <w:rsid w:val="009C7D93"/>
    <w:rsid w:val="009E34F9"/>
    <w:rsid w:val="009F3156"/>
    <w:rsid w:val="00A17443"/>
    <w:rsid w:val="00A72088"/>
    <w:rsid w:val="00AB6551"/>
    <w:rsid w:val="00AD41DD"/>
    <w:rsid w:val="00B13847"/>
    <w:rsid w:val="00B14FE2"/>
    <w:rsid w:val="00B52281"/>
    <w:rsid w:val="00B553F1"/>
    <w:rsid w:val="00BA0863"/>
    <w:rsid w:val="00BC1B60"/>
    <w:rsid w:val="00BE5F35"/>
    <w:rsid w:val="00C003FB"/>
    <w:rsid w:val="00C45A94"/>
    <w:rsid w:val="00C71AA0"/>
    <w:rsid w:val="00C7467C"/>
    <w:rsid w:val="00C74C43"/>
    <w:rsid w:val="00CB0BDE"/>
    <w:rsid w:val="00CF0CE6"/>
    <w:rsid w:val="00D32E9C"/>
    <w:rsid w:val="00D65B41"/>
    <w:rsid w:val="00DB0C0A"/>
    <w:rsid w:val="00DC0CF0"/>
    <w:rsid w:val="00DD6258"/>
    <w:rsid w:val="00DE141E"/>
    <w:rsid w:val="00E10A9E"/>
    <w:rsid w:val="00E359CC"/>
    <w:rsid w:val="00E44094"/>
    <w:rsid w:val="00E46F80"/>
    <w:rsid w:val="00E50577"/>
    <w:rsid w:val="00E517A1"/>
    <w:rsid w:val="00E61488"/>
    <w:rsid w:val="00EC0D71"/>
    <w:rsid w:val="00EC254F"/>
    <w:rsid w:val="00ED357A"/>
    <w:rsid w:val="00EF2F10"/>
    <w:rsid w:val="00FE34D9"/>
    <w:rsid w:val="00FF2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72695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autoRedefine/>
    <w:qFormat/>
    <w:rsid w:val="009C4C10"/>
    <w:pPr>
      <w:keepNext/>
      <w:spacing w:after="120" w:line="240" w:lineRule="auto"/>
      <w:outlineLvl w:val="1"/>
    </w:pPr>
    <w:rPr>
      <w:rFonts w:ascii="Times New Roman" w:eastAsia="Times New Roman" w:hAnsi="Times New Roman"/>
      <w:bCs/>
      <w:iCs/>
      <w:color w:val="000000"/>
      <w:sz w:val="24"/>
      <w:szCs w:val="24"/>
    </w:rPr>
  </w:style>
  <w:style w:type="paragraph" w:styleId="Heading3">
    <w:name w:val="heading 3"/>
    <w:basedOn w:val="Normal"/>
    <w:next w:val="Normal"/>
    <w:link w:val="Heading3Char"/>
    <w:autoRedefine/>
    <w:qFormat/>
    <w:rsid w:val="009C4C10"/>
    <w:pPr>
      <w:keepNext/>
      <w:spacing w:after="120" w:line="240" w:lineRule="auto"/>
      <w:outlineLvl w:val="2"/>
    </w:pPr>
    <w:rPr>
      <w:rFonts w:ascii="Franklin Gothic Heavy" w:eastAsia="Times New Roman" w:hAnsi="Franklin Gothic Heavy" w:cs="Arial"/>
      <w:bCs/>
      <w:color w:val="000000"/>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54F"/>
  </w:style>
  <w:style w:type="paragraph" w:styleId="Footer">
    <w:name w:val="footer"/>
    <w:basedOn w:val="Normal"/>
    <w:link w:val="FooterChar"/>
    <w:uiPriority w:val="99"/>
    <w:unhideWhenUsed/>
    <w:rsid w:val="00EC2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54F"/>
  </w:style>
  <w:style w:type="paragraph" w:styleId="BalloonText">
    <w:name w:val="Balloon Text"/>
    <w:basedOn w:val="Normal"/>
    <w:link w:val="BalloonTextChar"/>
    <w:uiPriority w:val="99"/>
    <w:semiHidden/>
    <w:unhideWhenUsed/>
    <w:rsid w:val="00EC254F"/>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EC254F"/>
    <w:rPr>
      <w:rFonts w:ascii="Tahoma" w:hAnsi="Tahoma" w:cs="Tahoma"/>
      <w:sz w:val="16"/>
      <w:szCs w:val="16"/>
    </w:rPr>
  </w:style>
  <w:style w:type="paragraph" w:customStyle="1" w:styleId="BasicParagraph">
    <w:name w:val="[Basic Paragraph]"/>
    <w:basedOn w:val="Normal"/>
    <w:uiPriority w:val="99"/>
    <w:rsid w:val="008E4B8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uiPriority w:val="99"/>
    <w:unhideWhenUsed/>
    <w:rsid w:val="008F4C66"/>
    <w:rPr>
      <w:color w:val="0000FF"/>
      <w:u w:val="single"/>
    </w:rPr>
  </w:style>
  <w:style w:type="paragraph" w:styleId="ListParagraph">
    <w:name w:val="List Paragraph"/>
    <w:basedOn w:val="Normal"/>
    <w:uiPriority w:val="34"/>
    <w:qFormat/>
    <w:rsid w:val="008F4C66"/>
    <w:pPr>
      <w:spacing w:after="0" w:line="240" w:lineRule="auto"/>
      <w:ind w:left="720"/>
    </w:pPr>
  </w:style>
  <w:style w:type="character" w:customStyle="1" w:styleId="Heading2Char">
    <w:name w:val="Heading 2 Char"/>
    <w:link w:val="Heading2"/>
    <w:rsid w:val="009C4C10"/>
    <w:rPr>
      <w:rFonts w:ascii="Times New Roman" w:eastAsia="Times New Roman" w:hAnsi="Times New Roman"/>
      <w:bCs/>
      <w:iCs/>
      <w:color w:val="000000"/>
      <w:sz w:val="24"/>
      <w:szCs w:val="24"/>
    </w:rPr>
  </w:style>
  <w:style w:type="character" w:customStyle="1" w:styleId="Heading3Char">
    <w:name w:val="Heading 3 Char"/>
    <w:link w:val="Heading3"/>
    <w:rsid w:val="009C4C10"/>
    <w:rPr>
      <w:rFonts w:ascii="Franklin Gothic Heavy" w:eastAsia="Times New Roman" w:hAnsi="Franklin Gothic Heavy" w:cs="Arial"/>
      <w:bCs/>
      <w:color w:val="000000"/>
      <w:sz w:val="24"/>
      <w:szCs w:val="26"/>
    </w:rPr>
  </w:style>
  <w:style w:type="paragraph" w:customStyle="1" w:styleId="Bodytext">
    <w:name w:val="Body text"/>
    <w:basedOn w:val="Normal"/>
    <w:link w:val="BodytextChar"/>
    <w:autoRedefine/>
    <w:uiPriority w:val="99"/>
    <w:rsid w:val="009C4C10"/>
    <w:pPr>
      <w:tabs>
        <w:tab w:val="left" w:pos="360"/>
        <w:tab w:val="left" w:pos="720"/>
        <w:tab w:val="left" w:pos="1080"/>
        <w:tab w:val="left" w:pos="1440"/>
        <w:tab w:val="left" w:pos="1800"/>
        <w:tab w:val="left" w:pos="2160"/>
        <w:tab w:val="left" w:pos="2520"/>
      </w:tabs>
      <w:autoSpaceDE w:val="0"/>
      <w:autoSpaceDN w:val="0"/>
      <w:adjustRightInd w:val="0"/>
      <w:spacing w:after="0" w:line="240" w:lineRule="auto"/>
      <w:textAlignment w:val="center"/>
    </w:pPr>
    <w:rPr>
      <w:rFonts w:ascii="Times New Roman" w:eastAsia="Times New Roman" w:hAnsi="Times New Roman" w:cs="Palatino"/>
      <w:color w:val="000000"/>
      <w:sz w:val="24"/>
      <w:szCs w:val="24"/>
    </w:rPr>
  </w:style>
  <w:style w:type="character" w:customStyle="1" w:styleId="BodytextChar">
    <w:name w:val="Body text Char"/>
    <w:link w:val="Bodytext"/>
    <w:uiPriority w:val="99"/>
    <w:rsid w:val="009C4C10"/>
    <w:rPr>
      <w:rFonts w:ascii="Times New Roman" w:eastAsia="Times New Roman" w:hAnsi="Times New Roman" w:cs="Palatino"/>
      <w:color w:val="000000"/>
      <w:sz w:val="24"/>
      <w:szCs w:val="24"/>
    </w:rPr>
  </w:style>
  <w:style w:type="character" w:styleId="CommentReference">
    <w:name w:val="annotation reference"/>
    <w:rsid w:val="009C4C10"/>
    <w:rPr>
      <w:sz w:val="16"/>
      <w:szCs w:val="16"/>
    </w:rPr>
  </w:style>
  <w:style w:type="paragraph" w:styleId="CommentText">
    <w:name w:val="annotation text"/>
    <w:basedOn w:val="Normal"/>
    <w:link w:val="CommentTextChar"/>
    <w:rsid w:val="009C4C10"/>
    <w:pPr>
      <w:spacing w:after="0" w:line="240" w:lineRule="auto"/>
    </w:pPr>
    <w:rPr>
      <w:rFonts w:ascii="Times New Roman" w:eastAsia="Times New Roman" w:hAnsi="Times New Roman"/>
      <w:color w:val="000000"/>
      <w:sz w:val="20"/>
      <w:szCs w:val="20"/>
    </w:rPr>
  </w:style>
  <w:style w:type="character" w:customStyle="1" w:styleId="CommentTextChar">
    <w:name w:val="Comment Text Char"/>
    <w:link w:val="CommentText"/>
    <w:rsid w:val="009C4C10"/>
    <w:rPr>
      <w:rFonts w:ascii="Times New Roman" w:eastAsia="Times New Roman" w:hAnsi="Times New Roman"/>
      <w:color w:val="000000"/>
    </w:rPr>
  </w:style>
  <w:style w:type="character" w:customStyle="1" w:styleId="Heading1Char">
    <w:name w:val="Heading 1 Char"/>
    <w:link w:val="Heading1"/>
    <w:uiPriority w:val="9"/>
    <w:rsid w:val="00726953"/>
    <w:rPr>
      <w:rFonts w:ascii="Cambria" w:eastAsia="Times New Roman" w:hAnsi="Cambria" w:cs="Times New Roman"/>
      <w:b/>
      <w:bCs/>
      <w:kern w:val="32"/>
      <w:sz w:val="32"/>
      <w:szCs w:val="32"/>
    </w:rPr>
  </w:style>
  <w:style w:type="paragraph" w:styleId="CommentSubject">
    <w:name w:val="annotation subject"/>
    <w:basedOn w:val="CommentText"/>
    <w:next w:val="CommentText"/>
    <w:link w:val="CommentSubjectChar"/>
    <w:uiPriority w:val="99"/>
    <w:semiHidden/>
    <w:unhideWhenUsed/>
    <w:rsid w:val="00C7467C"/>
    <w:pPr>
      <w:spacing w:after="200" w:line="276" w:lineRule="auto"/>
    </w:pPr>
    <w:rPr>
      <w:rFonts w:ascii="Calibri" w:eastAsia="Calibri" w:hAnsi="Calibri"/>
      <w:b/>
      <w:bCs/>
      <w:color w:val="auto"/>
    </w:rPr>
  </w:style>
  <w:style w:type="character" w:customStyle="1" w:styleId="CommentSubjectChar">
    <w:name w:val="Comment Subject Char"/>
    <w:link w:val="CommentSubject"/>
    <w:uiPriority w:val="99"/>
    <w:semiHidden/>
    <w:rsid w:val="00C7467C"/>
    <w:rPr>
      <w:rFonts w:ascii="Times New Roman" w:eastAsia="Times New Roman" w:hAnsi="Times New Roman"/>
      <w:b/>
      <w:bCs/>
      <w:color w:val="000000"/>
    </w:rPr>
  </w:style>
  <w:style w:type="paragraph" w:styleId="NormalWeb">
    <w:name w:val="Normal (Web)"/>
    <w:basedOn w:val="Normal"/>
    <w:uiPriority w:val="99"/>
    <w:semiHidden/>
    <w:unhideWhenUsed/>
    <w:rsid w:val="00E10A9E"/>
    <w:pPr>
      <w:spacing w:before="100" w:beforeAutospacing="1" w:after="390" w:line="240" w:lineRule="auto"/>
    </w:pPr>
    <w:rPr>
      <w:rFonts w:ascii="Times New Roman" w:eastAsia="Times New Roman" w:hAnsi="Times New Roman"/>
      <w:sz w:val="24"/>
      <w:szCs w:val="24"/>
    </w:rPr>
  </w:style>
  <w:style w:type="paragraph" w:customStyle="1" w:styleId="Default">
    <w:name w:val="Default"/>
    <w:rsid w:val="008B49DA"/>
    <w:pPr>
      <w:autoSpaceDE w:val="0"/>
      <w:autoSpaceDN w:val="0"/>
      <w:adjustRightInd w:val="0"/>
    </w:pPr>
    <w:rPr>
      <w:rFonts w:ascii="Garamond" w:eastAsia="Times New Roman" w:hAnsi="Garamond" w:cs="Garamond"/>
      <w:color w:val="000000"/>
      <w:sz w:val="24"/>
      <w:szCs w:val="24"/>
    </w:rPr>
  </w:style>
  <w:style w:type="table" w:styleId="TableGrid">
    <w:name w:val="Table Grid"/>
    <w:basedOn w:val="TableNormal"/>
    <w:rsid w:val="008B49D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2806151">
      <w:bodyDiv w:val="1"/>
      <w:marLeft w:val="0"/>
      <w:marRight w:val="0"/>
      <w:marTop w:val="0"/>
      <w:marBottom w:val="0"/>
      <w:divBdr>
        <w:top w:val="none" w:sz="0" w:space="0" w:color="auto"/>
        <w:left w:val="none" w:sz="0" w:space="0" w:color="auto"/>
        <w:bottom w:val="none" w:sz="0" w:space="0" w:color="auto"/>
        <w:right w:val="none" w:sz="0" w:space="0" w:color="auto"/>
      </w:divBdr>
    </w:div>
    <w:div w:id="311494554">
      <w:bodyDiv w:val="1"/>
      <w:marLeft w:val="0"/>
      <w:marRight w:val="0"/>
      <w:marTop w:val="0"/>
      <w:marBottom w:val="0"/>
      <w:divBdr>
        <w:top w:val="none" w:sz="0" w:space="0" w:color="auto"/>
        <w:left w:val="none" w:sz="0" w:space="0" w:color="auto"/>
        <w:bottom w:val="none" w:sz="0" w:space="0" w:color="auto"/>
        <w:right w:val="none" w:sz="0" w:space="0" w:color="auto"/>
      </w:divBdr>
      <w:divsChild>
        <w:div w:id="1472361844">
          <w:marLeft w:val="0"/>
          <w:marRight w:val="0"/>
          <w:marTop w:val="480"/>
          <w:marBottom w:val="480"/>
          <w:divBdr>
            <w:top w:val="none" w:sz="0" w:space="0" w:color="auto"/>
            <w:left w:val="none" w:sz="0" w:space="0" w:color="auto"/>
            <w:bottom w:val="none" w:sz="0" w:space="0" w:color="auto"/>
            <w:right w:val="none" w:sz="0" w:space="0" w:color="auto"/>
          </w:divBdr>
          <w:divsChild>
            <w:div w:id="36635794">
              <w:marLeft w:val="0"/>
              <w:marRight w:val="0"/>
              <w:marTop w:val="0"/>
              <w:marBottom w:val="0"/>
              <w:divBdr>
                <w:top w:val="none" w:sz="0" w:space="0" w:color="auto"/>
                <w:left w:val="none" w:sz="0" w:space="0" w:color="auto"/>
                <w:bottom w:val="none" w:sz="0" w:space="0" w:color="auto"/>
                <w:right w:val="none" w:sz="0" w:space="0" w:color="auto"/>
              </w:divBdr>
              <w:divsChild>
                <w:div w:id="218594676">
                  <w:marLeft w:val="0"/>
                  <w:marRight w:val="-26"/>
                  <w:marTop w:val="0"/>
                  <w:marBottom w:val="0"/>
                  <w:divBdr>
                    <w:top w:val="none" w:sz="0" w:space="0" w:color="auto"/>
                    <w:left w:val="none" w:sz="0" w:space="0" w:color="auto"/>
                    <w:bottom w:val="none" w:sz="0" w:space="0" w:color="auto"/>
                    <w:right w:val="none" w:sz="0" w:space="0" w:color="auto"/>
                  </w:divBdr>
                  <w:divsChild>
                    <w:div w:id="1632859371">
                      <w:marLeft w:val="7"/>
                      <w:marRight w:val="34"/>
                      <w:marTop w:val="0"/>
                      <w:marBottom w:val="0"/>
                      <w:divBdr>
                        <w:top w:val="none" w:sz="0" w:space="0" w:color="auto"/>
                        <w:left w:val="none" w:sz="0" w:space="0" w:color="auto"/>
                        <w:bottom w:val="none" w:sz="0" w:space="0" w:color="auto"/>
                        <w:right w:val="none" w:sz="0" w:space="0" w:color="auto"/>
                      </w:divBdr>
                      <w:divsChild>
                        <w:div w:id="2315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109025">
      <w:bodyDiv w:val="1"/>
      <w:marLeft w:val="0"/>
      <w:marRight w:val="0"/>
      <w:marTop w:val="0"/>
      <w:marBottom w:val="0"/>
      <w:divBdr>
        <w:top w:val="none" w:sz="0" w:space="0" w:color="auto"/>
        <w:left w:val="none" w:sz="0" w:space="0" w:color="auto"/>
        <w:bottom w:val="none" w:sz="0" w:space="0" w:color="auto"/>
        <w:right w:val="none" w:sz="0" w:space="0" w:color="auto"/>
      </w:divBdr>
    </w:div>
    <w:div w:id="14870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SPOKANE RIVER REGIONAL TOXICS TASK FORCE</vt:lpstr>
    </vt:vector>
  </TitlesOfParts>
  <Company>Toshiba</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SPOKANE RIVER REGIONAL TOXICS TASK FORCE</dc:title>
  <dc:creator>Cheri Kaatz</dc:creator>
  <cp:lastModifiedBy>Kara Whitman</cp:lastModifiedBy>
  <cp:revision>2</cp:revision>
  <cp:lastPrinted>2013-02-05T22:44:00Z</cp:lastPrinted>
  <dcterms:created xsi:type="dcterms:W3CDTF">2015-08-19T20:34:00Z</dcterms:created>
  <dcterms:modified xsi:type="dcterms:W3CDTF">2015-08-19T20:34:00Z</dcterms:modified>
</cp:coreProperties>
</file>