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D40" w:rsidRDefault="00373D40" w:rsidP="00373D40">
      <w:pPr>
        <w:pStyle w:val="Heading2"/>
      </w:pPr>
      <w:bookmarkStart w:id="0" w:name="_GoBack"/>
      <w:bookmarkEnd w:id="0"/>
      <w:r w:rsidRPr="00051146">
        <w:t>5.15</w:t>
      </w:r>
      <w:r w:rsidRPr="00051146">
        <w:tab/>
        <w:t>Schedule and Monitoring Program</w:t>
      </w:r>
    </w:p>
    <w:p w:rsidR="00373D40" w:rsidRPr="004F1A54" w:rsidRDefault="00373D40" w:rsidP="00373D40">
      <w:pPr>
        <w:pStyle w:val="BodyTextCorrectone"/>
      </w:pPr>
      <w:r>
        <w:t>This section presents the schedule by which each of the Category B (expansion of existing action) and C (new actions) Control Actions will be implemented, and lists specific milestones and effectiveness metrics.  This Comprehensive Plan is not specifying additional scheduling or monitoring requirements Category A Control Action (maintain existing activities), beyond the long-term implementation effectiveness monitoring discussed in Section 6 of this Plan.</w:t>
      </w:r>
    </w:p>
    <w:p w:rsidR="00373D40" w:rsidRDefault="00373D40" w:rsidP="00373D40">
      <w:pPr>
        <w:pStyle w:val="BodyTextCorrectone"/>
      </w:pPr>
      <w:r>
        <w:t>For purposes of scheduling, the Task Force divided the implementation activities into tiers of:</w:t>
      </w:r>
    </w:p>
    <w:p w:rsidR="00373D40" w:rsidRDefault="00373D40" w:rsidP="00373D40">
      <w:pPr>
        <w:pStyle w:val="BodyTextCorrectone"/>
        <w:numPr>
          <w:ilvl w:val="0"/>
          <w:numId w:val="2"/>
        </w:numPr>
      </w:pPr>
      <w:r>
        <w:t>Actions that can begin implementation in the short term</w:t>
      </w:r>
    </w:p>
    <w:p w:rsidR="00373D40" w:rsidRDefault="00373D40" w:rsidP="00373D40">
      <w:pPr>
        <w:pStyle w:val="BodyTextCorrectone"/>
        <w:numPr>
          <w:ilvl w:val="0"/>
          <w:numId w:val="2"/>
        </w:numPr>
      </w:pPr>
      <w:r>
        <w:t>Actions that will require development of new work plans</w:t>
      </w:r>
    </w:p>
    <w:p w:rsidR="00373D40" w:rsidRPr="00051146" w:rsidRDefault="00373D40" w:rsidP="00373D40">
      <w:pPr>
        <w:pStyle w:val="Heading3"/>
        <w:numPr>
          <w:ilvl w:val="0"/>
          <w:numId w:val="0"/>
        </w:numPr>
      </w:pPr>
      <w:r w:rsidRPr="006E65D5">
        <w:t>5.15.1</w:t>
      </w:r>
      <w:r w:rsidRPr="006E65D5">
        <w:tab/>
        <w:t>Actions that Can Be</w:t>
      </w:r>
      <w:r>
        <w:t>gin</w:t>
      </w:r>
      <w:r w:rsidRPr="006E65D5">
        <w:t xml:space="preserve"> Implement</w:t>
      </w:r>
      <w:r>
        <w:t>ation</w:t>
      </w:r>
      <w:r w:rsidRPr="006E65D5">
        <w:t xml:space="preserve"> </w:t>
      </w:r>
      <w:r>
        <w:t>in the Short Term</w:t>
      </w:r>
    </w:p>
    <w:p w:rsidR="00373D40" w:rsidRDefault="00373D40" w:rsidP="00373D40">
      <w:pPr>
        <w:pStyle w:val="BodyTextCorrectone"/>
      </w:pPr>
      <w:r>
        <w:t>The Task Force determined that the following control actions can begin implementation in the short term:</w:t>
      </w:r>
    </w:p>
    <w:p w:rsidR="00373D40" w:rsidRDefault="00373D40" w:rsidP="00373D40">
      <w:pPr>
        <w:pStyle w:val="BodyTextCorrectone"/>
        <w:numPr>
          <w:ilvl w:val="0"/>
          <w:numId w:val="3"/>
        </w:numPr>
      </w:pPr>
      <w:r w:rsidRPr="00C76EF8">
        <w:t>PCB Product Testing</w:t>
      </w:r>
    </w:p>
    <w:p w:rsidR="00373D40" w:rsidRDefault="00373D40" w:rsidP="00373D40">
      <w:pPr>
        <w:pStyle w:val="BodyTextCorrectone"/>
        <w:numPr>
          <w:ilvl w:val="0"/>
          <w:numId w:val="3"/>
        </w:numPr>
      </w:pPr>
      <w:r w:rsidRPr="007C61CB">
        <w:t>Compliance with PCB Regulations</w:t>
      </w:r>
    </w:p>
    <w:p w:rsidR="00373D40" w:rsidRDefault="00373D40" w:rsidP="00373D40">
      <w:pPr>
        <w:pStyle w:val="BodyTextCorrectone"/>
        <w:numPr>
          <w:ilvl w:val="0"/>
          <w:numId w:val="3"/>
        </w:numPr>
      </w:pPr>
      <w:r>
        <w:t>Emerging Stormwater Technologies</w:t>
      </w:r>
    </w:p>
    <w:p w:rsidR="00373D40" w:rsidRDefault="00373D40" w:rsidP="00373D40">
      <w:pPr>
        <w:pStyle w:val="BodyTextCorrectone"/>
        <w:ind w:left="44"/>
      </w:pPr>
      <w:r>
        <w:t xml:space="preserve">Milestones, timelines, effectiveness metrics, and parties who will serve in a leadership role for each of these Control Actions are provided below in Table 11. </w:t>
      </w:r>
    </w:p>
    <w:p w:rsidR="00D217A3" w:rsidRDefault="00D217A3" w:rsidP="00D217A3">
      <w:pPr>
        <w:pStyle w:val="BodyTextCorrectone"/>
      </w:pPr>
      <w:r>
        <w:t>For the Control Action</w:t>
      </w:r>
      <w:r w:rsidRPr="00C76EF8">
        <w:t xml:space="preserve"> PCB Product Testing</w:t>
      </w:r>
      <w:r>
        <w:t xml:space="preserve">, the first milestone consists of the provision of comments </w:t>
      </w:r>
      <w:r w:rsidRPr="00AA0BC0">
        <w:t xml:space="preserve">on </w:t>
      </w:r>
      <w:r>
        <w:t>Ecology’s</w:t>
      </w:r>
      <w:r w:rsidRPr="00AA0BC0">
        <w:t xml:space="preserve"> PCB product testing report</w:t>
      </w:r>
      <w:r>
        <w:t xml:space="preserve"> within three months of issuance of the draft report.  The second milestone consists of demonstrated support to Ecology, regarding d</w:t>
      </w:r>
      <w:r w:rsidRPr="003B2A0F">
        <w:t xml:space="preserve">evelopment of a </w:t>
      </w:r>
      <w:r>
        <w:t xml:space="preserve">PCB product testing </w:t>
      </w:r>
      <w:r w:rsidRPr="003B2A0F">
        <w:t>clearinghouse</w:t>
      </w:r>
      <w:r>
        <w:t>. This support will consist of three steps: 1) Initial outreach to Ecology to determine if/how the Task Force can support, 2) Definition of the specific support to be provided, and 3) Provision of support. Initial outreach will be conducted within one year of issuance of the Comprehensive Plan, and future schedules assessed as part of the Implementation Review report.  The third milestone for the Control Action</w:t>
      </w:r>
      <w:r w:rsidRPr="00C76EF8">
        <w:t xml:space="preserve"> PCB Product Testing</w:t>
      </w:r>
      <w:r>
        <w:t xml:space="preserve"> is d</w:t>
      </w:r>
      <w:r w:rsidRPr="00A16F51">
        <w:t xml:space="preserve">evelopment of </w:t>
      </w:r>
      <w:r>
        <w:t>a c</w:t>
      </w:r>
      <w:r w:rsidRPr="00A16F51">
        <w:t>learinghouse</w:t>
      </w:r>
      <w:r>
        <w:t xml:space="preserve"> w</w:t>
      </w:r>
      <w:r w:rsidRPr="00A16F51">
        <w:t xml:space="preserve">ithin two years of issuance of </w:t>
      </w:r>
      <w:r>
        <w:t xml:space="preserve">the </w:t>
      </w:r>
      <w:r w:rsidRPr="00A16F51">
        <w:t>Comprehensive Plan</w:t>
      </w:r>
      <w:r>
        <w:t xml:space="preserve">. Initial public education efforts will be conducted within one year of issuance of the Comprehensive Plan, with more detailed effectiveness metrics for public education defined below in Section 5.15.2 on </w:t>
      </w:r>
      <w:r w:rsidRPr="000C0C1C">
        <w:t>Actions That Require Development of New Work Plans</w:t>
      </w:r>
      <w:r>
        <w:t>.</w:t>
      </w:r>
      <w:r w:rsidRPr="007F7B36">
        <w:t xml:space="preserve"> </w:t>
      </w:r>
    </w:p>
    <w:p w:rsidR="00D217A3" w:rsidRDefault="00D217A3" w:rsidP="00D217A3">
      <w:pPr>
        <w:pStyle w:val="BodyTextCorrectone"/>
      </w:pPr>
      <w:r>
        <w:t>For the Control Action</w:t>
      </w:r>
      <w:r w:rsidRPr="00C76EF8">
        <w:t xml:space="preserve"> </w:t>
      </w:r>
      <w:r w:rsidRPr="007C61CB">
        <w:t>Compliance with PCB Regulations</w:t>
      </w:r>
      <w:r>
        <w:t>, the first milestone consists of maintaining existing activity in terms of providing comments on recurring regulatory issues.</w:t>
      </w:r>
      <w:r w:rsidRPr="009A4D82">
        <w:t xml:space="preserve"> </w:t>
      </w:r>
      <w:r>
        <w:t xml:space="preserve">Comments will be provided on an ongoing as-needed basis, and assessed as part of the Implementation Review report. The second milestone consists of review of the Ecology atmospheric transport study, and a determination made regarding the need for more </w:t>
      </w:r>
      <w:r w:rsidRPr="00EE7EC9">
        <w:t xml:space="preserve">regulatory control of </w:t>
      </w:r>
      <w:r>
        <w:t xml:space="preserve">atmospheric sources such as used </w:t>
      </w:r>
      <w:r w:rsidRPr="00EE7EC9">
        <w:t>oil burning</w:t>
      </w:r>
      <w:r>
        <w:t>. Should atmospheric sources be identified as a significant contributor of PCBs, the final milestone consists of initiating a process for regulatory control over the relevant sources.</w:t>
      </w:r>
    </w:p>
    <w:p w:rsidR="00D217A3" w:rsidRDefault="00D217A3" w:rsidP="00D217A3">
      <w:pPr>
        <w:pStyle w:val="BodyTextCorrectone"/>
      </w:pPr>
      <w:r>
        <w:t>For the Control Action</w:t>
      </w:r>
      <w:r w:rsidRPr="00C76EF8">
        <w:t xml:space="preserve"> </w:t>
      </w:r>
      <w:r w:rsidRPr="00B15D06">
        <w:t>Emerging End of Pipe Stormwater Technologies</w:t>
      </w:r>
      <w:r>
        <w:t>, the first milestone consists of the Task Force reviewing the Phase 1 results of the Lands Council works and providing feedback on next steps.  The second milestone consists of identification of the appropriate level of Phase 2 support, and provision of that support. Both of these milestones will be accomplished within one year of completion of the Phase 1 report.</w:t>
      </w:r>
    </w:p>
    <w:p w:rsidR="00D217A3" w:rsidRDefault="00D217A3" w:rsidP="00373D40">
      <w:pPr>
        <w:pStyle w:val="Caption"/>
      </w:pPr>
    </w:p>
    <w:p w:rsidR="00373D40" w:rsidRDefault="00373D40" w:rsidP="00373D40">
      <w:pPr>
        <w:pStyle w:val="Caption"/>
      </w:pPr>
      <w:r>
        <w:lastRenderedPageBreak/>
        <w:t xml:space="preserve">Table </w:t>
      </w:r>
      <w:fldSimple w:instr=" SEQ Table \* ARABIC ">
        <w:r>
          <w:rPr>
            <w:noProof/>
          </w:rPr>
          <w:t>11</w:t>
        </w:r>
      </w:fldSimple>
      <w:r>
        <w:t xml:space="preserve">. </w:t>
      </w:r>
      <w:r w:rsidRPr="00335124">
        <w:t>Milestones, Timelines and Effectiveness Metrics for</w:t>
      </w:r>
      <w:r>
        <w:t xml:space="preserve"> Actions that Can Begin Implementation in the Short Term</w:t>
      </w:r>
    </w:p>
    <w:tbl>
      <w:tblPr>
        <w:tblW w:w="9360" w:type="dxa"/>
        <w:jc w:val="center"/>
        <w:tblLook w:val="04A0" w:firstRow="1" w:lastRow="0" w:firstColumn="1" w:lastColumn="0" w:noHBand="0" w:noVBand="1"/>
      </w:tblPr>
      <w:tblGrid>
        <w:gridCol w:w="1284"/>
        <w:gridCol w:w="1866"/>
        <w:gridCol w:w="2070"/>
        <w:gridCol w:w="2139"/>
        <w:gridCol w:w="2001"/>
      </w:tblGrid>
      <w:tr w:rsidR="00F6724E" w:rsidTr="0010614E">
        <w:trPr>
          <w:jc w:val="center"/>
        </w:trPr>
        <w:tc>
          <w:tcPr>
            <w:tcW w:w="1284" w:type="dxa"/>
            <w:shd w:val="clear" w:color="auto" w:fill="174A7C"/>
          </w:tcPr>
          <w:p w:rsidR="00F6724E" w:rsidRDefault="00F6724E" w:rsidP="0010614E">
            <w:pPr>
              <w:pStyle w:val="TableTextHeadings"/>
            </w:pPr>
            <w:r>
              <w:t>Control Action</w:t>
            </w:r>
          </w:p>
        </w:tc>
        <w:tc>
          <w:tcPr>
            <w:tcW w:w="1866" w:type="dxa"/>
            <w:shd w:val="clear" w:color="auto" w:fill="174A7C"/>
          </w:tcPr>
          <w:p w:rsidR="00F6724E" w:rsidRPr="00902FF0" w:rsidRDefault="00F6724E" w:rsidP="0010614E">
            <w:pPr>
              <w:pStyle w:val="TableTextHeadings"/>
            </w:pPr>
            <w:r>
              <w:t>Milestone</w:t>
            </w:r>
          </w:p>
        </w:tc>
        <w:tc>
          <w:tcPr>
            <w:tcW w:w="2070" w:type="dxa"/>
            <w:shd w:val="clear" w:color="auto" w:fill="174A7C"/>
          </w:tcPr>
          <w:p w:rsidR="00F6724E" w:rsidRPr="00902FF0" w:rsidRDefault="00F6724E" w:rsidP="0010614E">
            <w:pPr>
              <w:pStyle w:val="TableTextHeadings"/>
            </w:pPr>
            <w:r>
              <w:t>Timeline</w:t>
            </w:r>
          </w:p>
        </w:tc>
        <w:tc>
          <w:tcPr>
            <w:tcW w:w="2139" w:type="dxa"/>
            <w:shd w:val="clear" w:color="auto" w:fill="174A7C"/>
          </w:tcPr>
          <w:p w:rsidR="00F6724E" w:rsidRPr="00902FF0" w:rsidRDefault="00F6724E" w:rsidP="0010614E">
            <w:pPr>
              <w:pStyle w:val="TableTextHeadings"/>
            </w:pPr>
            <w:r>
              <w:t>Effectiveness Metric</w:t>
            </w:r>
          </w:p>
        </w:tc>
        <w:tc>
          <w:tcPr>
            <w:tcW w:w="2001" w:type="dxa"/>
            <w:shd w:val="clear" w:color="auto" w:fill="174A7C"/>
          </w:tcPr>
          <w:p w:rsidR="00F6724E" w:rsidRDefault="00F6724E" w:rsidP="0010614E">
            <w:pPr>
              <w:pStyle w:val="TableTextHeadings"/>
            </w:pPr>
            <w:r>
              <w:t>Leader</w:t>
            </w:r>
            <w:r>
              <w:rPr>
                <w:rStyle w:val="FootnoteReference"/>
              </w:rPr>
              <w:footnoteReference w:id="1"/>
            </w:r>
          </w:p>
        </w:tc>
      </w:tr>
      <w:tr w:rsidR="00F6724E" w:rsidTr="0010614E">
        <w:trPr>
          <w:jc w:val="center"/>
        </w:trPr>
        <w:tc>
          <w:tcPr>
            <w:tcW w:w="1284" w:type="dxa"/>
          </w:tcPr>
          <w:p w:rsidR="00F6724E" w:rsidRDefault="00F6724E" w:rsidP="0010614E">
            <w:pPr>
              <w:pStyle w:val="TableText"/>
            </w:pPr>
            <w:r w:rsidRPr="00C76EF8">
              <w:t>PCB Product Testing</w:t>
            </w:r>
          </w:p>
        </w:tc>
        <w:tc>
          <w:tcPr>
            <w:tcW w:w="1866" w:type="dxa"/>
          </w:tcPr>
          <w:p w:rsidR="00F6724E" w:rsidRDefault="00F6724E" w:rsidP="0010614E">
            <w:pPr>
              <w:pStyle w:val="TableText"/>
            </w:pPr>
            <w:r>
              <w:t xml:space="preserve">Provide comments </w:t>
            </w:r>
            <w:r w:rsidRPr="00AA0BC0">
              <w:t>on the PCB product testing report</w:t>
            </w:r>
          </w:p>
        </w:tc>
        <w:tc>
          <w:tcPr>
            <w:tcW w:w="2070" w:type="dxa"/>
          </w:tcPr>
          <w:p w:rsidR="00F6724E" w:rsidRDefault="00F6724E" w:rsidP="0010614E">
            <w:pPr>
              <w:pStyle w:val="TableText"/>
            </w:pPr>
            <w:r>
              <w:t>Within three months of issuance of draft report</w:t>
            </w:r>
          </w:p>
        </w:tc>
        <w:tc>
          <w:tcPr>
            <w:tcW w:w="2139" w:type="dxa"/>
          </w:tcPr>
          <w:p w:rsidR="00F6724E" w:rsidRDefault="00F6724E" w:rsidP="0010614E">
            <w:pPr>
              <w:pStyle w:val="TableText"/>
            </w:pPr>
            <w:r>
              <w:t>Comments provided</w:t>
            </w:r>
          </w:p>
        </w:tc>
        <w:tc>
          <w:tcPr>
            <w:tcW w:w="2001" w:type="dxa"/>
          </w:tcPr>
          <w:p w:rsidR="00F6724E" w:rsidRDefault="00F6724E" w:rsidP="0010614E">
            <w:pPr>
              <w:pStyle w:val="TableText"/>
              <w:jc w:val="center"/>
            </w:pPr>
            <w:r>
              <w:t>Spokane County</w:t>
            </w:r>
          </w:p>
        </w:tc>
      </w:tr>
      <w:tr w:rsidR="00F6724E" w:rsidTr="0010614E">
        <w:trPr>
          <w:jc w:val="center"/>
        </w:trPr>
        <w:tc>
          <w:tcPr>
            <w:tcW w:w="1284" w:type="dxa"/>
          </w:tcPr>
          <w:p w:rsidR="00F6724E" w:rsidRDefault="00F6724E" w:rsidP="0010614E">
            <w:pPr>
              <w:pStyle w:val="TableText"/>
            </w:pPr>
            <w:r w:rsidRPr="00C76EF8">
              <w:t>PCB Product Testing</w:t>
            </w:r>
          </w:p>
        </w:tc>
        <w:tc>
          <w:tcPr>
            <w:tcW w:w="1866" w:type="dxa"/>
          </w:tcPr>
          <w:p w:rsidR="00F6724E" w:rsidRDefault="00F6724E" w:rsidP="0010614E">
            <w:pPr>
              <w:pStyle w:val="TableText"/>
            </w:pPr>
            <w:r>
              <w:t>Support Ecology efforts towards d</w:t>
            </w:r>
            <w:r w:rsidRPr="003B2A0F">
              <w:t>evelopment of a clearinghouse</w:t>
            </w:r>
          </w:p>
        </w:tc>
        <w:tc>
          <w:tcPr>
            <w:tcW w:w="2070" w:type="dxa"/>
          </w:tcPr>
          <w:p w:rsidR="00F6724E" w:rsidRDefault="00F6724E" w:rsidP="0010614E">
            <w:pPr>
              <w:pStyle w:val="TableText"/>
            </w:pPr>
            <w:r>
              <w:t>Within one year of issuance of Comprehensive Plan</w:t>
            </w:r>
          </w:p>
        </w:tc>
        <w:tc>
          <w:tcPr>
            <w:tcW w:w="2139" w:type="dxa"/>
          </w:tcPr>
          <w:p w:rsidR="00F6724E" w:rsidRDefault="00F6724E" w:rsidP="0010614E">
            <w:pPr>
              <w:pStyle w:val="TableText"/>
            </w:pPr>
            <w:r>
              <w:t>Demonstrated support, reassessed annually (see text for discussion)</w:t>
            </w:r>
          </w:p>
        </w:tc>
        <w:tc>
          <w:tcPr>
            <w:tcW w:w="2001" w:type="dxa"/>
          </w:tcPr>
          <w:p w:rsidR="00F6724E" w:rsidRDefault="00F6724E" w:rsidP="0010614E">
            <w:pPr>
              <w:pStyle w:val="TableText"/>
              <w:jc w:val="center"/>
            </w:pPr>
            <w:r>
              <w:t>Ecology</w:t>
            </w:r>
          </w:p>
        </w:tc>
      </w:tr>
      <w:tr w:rsidR="00F6724E" w:rsidTr="0010614E">
        <w:trPr>
          <w:jc w:val="center"/>
        </w:trPr>
        <w:tc>
          <w:tcPr>
            <w:tcW w:w="1284" w:type="dxa"/>
          </w:tcPr>
          <w:p w:rsidR="00F6724E" w:rsidRDefault="00F6724E" w:rsidP="0010614E">
            <w:pPr>
              <w:pStyle w:val="TableText"/>
            </w:pPr>
            <w:r w:rsidRPr="00C76EF8">
              <w:t>PCB Product Testing</w:t>
            </w:r>
          </w:p>
        </w:tc>
        <w:tc>
          <w:tcPr>
            <w:tcW w:w="1866" w:type="dxa"/>
          </w:tcPr>
          <w:p w:rsidR="00F6724E" w:rsidRDefault="00F6724E" w:rsidP="0010614E">
            <w:pPr>
              <w:pStyle w:val="TableText"/>
            </w:pPr>
            <w:r>
              <w:t>D</w:t>
            </w:r>
            <w:r w:rsidRPr="003B2A0F">
              <w:t>evelop</w:t>
            </w:r>
            <w:r>
              <w:t>ment of</w:t>
            </w:r>
            <w:r w:rsidRPr="003B2A0F">
              <w:t xml:space="preserve"> </w:t>
            </w:r>
            <w:r>
              <w:t>c</w:t>
            </w:r>
            <w:r w:rsidRPr="003B2A0F">
              <w:t xml:space="preserve">learinghouse </w:t>
            </w:r>
          </w:p>
        </w:tc>
        <w:tc>
          <w:tcPr>
            <w:tcW w:w="2070" w:type="dxa"/>
          </w:tcPr>
          <w:p w:rsidR="00F6724E" w:rsidRDefault="00F6724E" w:rsidP="0010614E">
            <w:pPr>
              <w:pStyle w:val="TableText"/>
            </w:pPr>
            <w:r>
              <w:t>Within two years of issuance of Comprehensive Plan</w:t>
            </w:r>
          </w:p>
        </w:tc>
        <w:tc>
          <w:tcPr>
            <w:tcW w:w="2139" w:type="dxa"/>
          </w:tcPr>
          <w:p w:rsidR="00F6724E" w:rsidRDefault="00F6724E" w:rsidP="0010614E">
            <w:pPr>
              <w:pStyle w:val="TableText"/>
            </w:pPr>
            <w:r>
              <w:t>Has c</w:t>
            </w:r>
            <w:r w:rsidRPr="003B2A0F">
              <w:t xml:space="preserve">learinghouse </w:t>
            </w:r>
            <w:r>
              <w:t xml:space="preserve">been </w:t>
            </w:r>
            <w:r w:rsidRPr="003B2A0F">
              <w:t>developed</w:t>
            </w:r>
            <w:r>
              <w:t>?</w:t>
            </w:r>
          </w:p>
        </w:tc>
        <w:tc>
          <w:tcPr>
            <w:tcW w:w="2001" w:type="dxa"/>
          </w:tcPr>
          <w:p w:rsidR="00F6724E" w:rsidRDefault="00F6724E" w:rsidP="0010614E">
            <w:pPr>
              <w:pStyle w:val="TableText"/>
              <w:jc w:val="center"/>
            </w:pPr>
            <w:r>
              <w:t>Ecology</w:t>
            </w:r>
          </w:p>
        </w:tc>
      </w:tr>
      <w:tr w:rsidR="00F6724E" w:rsidTr="0010614E">
        <w:trPr>
          <w:jc w:val="center"/>
        </w:trPr>
        <w:tc>
          <w:tcPr>
            <w:tcW w:w="1284" w:type="dxa"/>
          </w:tcPr>
          <w:p w:rsidR="00F6724E" w:rsidRDefault="00F6724E" w:rsidP="0010614E">
            <w:pPr>
              <w:pStyle w:val="TableText"/>
            </w:pPr>
            <w:r w:rsidRPr="00C76EF8">
              <w:t>PCB Product Testing</w:t>
            </w:r>
          </w:p>
        </w:tc>
        <w:tc>
          <w:tcPr>
            <w:tcW w:w="1866" w:type="dxa"/>
          </w:tcPr>
          <w:p w:rsidR="00F6724E" w:rsidRDefault="00F6724E" w:rsidP="0010614E">
            <w:pPr>
              <w:pStyle w:val="TableText"/>
            </w:pPr>
            <w:r>
              <w:t>P</w:t>
            </w:r>
            <w:r w:rsidRPr="003B2A0F">
              <w:t>ublic education</w:t>
            </w:r>
            <w:r>
              <w:t xml:space="preserve"> </w:t>
            </w:r>
          </w:p>
        </w:tc>
        <w:tc>
          <w:tcPr>
            <w:tcW w:w="2070" w:type="dxa"/>
          </w:tcPr>
          <w:p w:rsidR="00F6724E" w:rsidRDefault="00F6724E" w:rsidP="0010614E">
            <w:pPr>
              <w:pStyle w:val="TableText"/>
            </w:pPr>
            <w:r>
              <w:t>Within one year of issuance of Comprehensive Plan</w:t>
            </w:r>
          </w:p>
        </w:tc>
        <w:tc>
          <w:tcPr>
            <w:tcW w:w="2139" w:type="dxa"/>
          </w:tcPr>
          <w:p w:rsidR="00F6724E" w:rsidRDefault="00F6724E" w:rsidP="0010614E">
            <w:pPr>
              <w:pStyle w:val="TableText"/>
            </w:pPr>
            <w:r>
              <w:t>Outreach conducted (e.g. disseminating information when tabling at events, educating youth at outreach events, and/or presentations at social civic groups)</w:t>
            </w:r>
          </w:p>
        </w:tc>
        <w:tc>
          <w:tcPr>
            <w:tcW w:w="2001" w:type="dxa"/>
          </w:tcPr>
          <w:p w:rsidR="00F6724E" w:rsidRDefault="00F6724E" w:rsidP="0010614E">
            <w:pPr>
              <w:pStyle w:val="TableText"/>
              <w:jc w:val="center"/>
            </w:pPr>
            <w:r>
              <w:t>Education and Outreach Work Group</w:t>
            </w:r>
          </w:p>
        </w:tc>
      </w:tr>
      <w:tr w:rsidR="00F6724E" w:rsidTr="0010614E">
        <w:trPr>
          <w:jc w:val="center"/>
        </w:trPr>
        <w:tc>
          <w:tcPr>
            <w:tcW w:w="1284" w:type="dxa"/>
          </w:tcPr>
          <w:p w:rsidR="00F6724E" w:rsidRDefault="00F6724E" w:rsidP="0010614E">
            <w:pPr>
              <w:pStyle w:val="TableText"/>
            </w:pPr>
            <w:r w:rsidRPr="007C61CB">
              <w:t>Compliance with PCB Regulations</w:t>
            </w:r>
          </w:p>
        </w:tc>
        <w:tc>
          <w:tcPr>
            <w:tcW w:w="1866" w:type="dxa"/>
          </w:tcPr>
          <w:p w:rsidR="00F6724E" w:rsidRDefault="00F6724E" w:rsidP="0010614E">
            <w:pPr>
              <w:pStyle w:val="TableText"/>
            </w:pPr>
            <w:r>
              <w:t>Comments on recurring regulatory issues</w:t>
            </w:r>
            <w:r w:rsidRPr="003B2A0F">
              <w:t xml:space="preserve"> </w:t>
            </w:r>
          </w:p>
        </w:tc>
        <w:tc>
          <w:tcPr>
            <w:tcW w:w="2070" w:type="dxa"/>
          </w:tcPr>
          <w:p w:rsidR="00F6724E" w:rsidRDefault="00F6724E" w:rsidP="0010614E">
            <w:pPr>
              <w:pStyle w:val="TableText"/>
            </w:pPr>
            <w:r>
              <w:t>Ongoing annual assessment</w:t>
            </w:r>
          </w:p>
        </w:tc>
        <w:tc>
          <w:tcPr>
            <w:tcW w:w="2139" w:type="dxa"/>
          </w:tcPr>
          <w:p w:rsidR="00F6724E" w:rsidRDefault="00F6724E" w:rsidP="0010614E">
            <w:pPr>
              <w:pStyle w:val="TableText"/>
            </w:pPr>
            <w:r>
              <w:t>Recommendations provided, reassessed annually</w:t>
            </w:r>
          </w:p>
        </w:tc>
        <w:tc>
          <w:tcPr>
            <w:tcW w:w="2001" w:type="dxa"/>
          </w:tcPr>
          <w:p w:rsidR="00F6724E" w:rsidRDefault="00F6724E" w:rsidP="0010614E">
            <w:pPr>
              <w:pStyle w:val="TableText"/>
              <w:jc w:val="center"/>
            </w:pPr>
            <w:r>
              <w:t xml:space="preserve">Task Force </w:t>
            </w:r>
          </w:p>
        </w:tc>
      </w:tr>
      <w:tr w:rsidR="00F6724E" w:rsidTr="0010614E">
        <w:trPr>
          <w:jc w:val="center"/>
        </w:trPr>
        <w:tc>
          <w:tcPr>
            <w:tcW w:w="1284" w:type="dxa"/>
          </w:tcPr>
          <w:p w:rsidR="00F6724E" w:rsidRDefault="00F6724E" w:rsidP="0010614E">
            <w:pPr>
              <w:pStyle w:val="TableText"/>
            </w:pPr>
            <w:r w:rsidRPr="007C61CB">
              <w:t>Compliance with PCB Regulations</w:t>
            </w:r>
          </w:p>
        </w:tc>
        <w:tc>
          <w:tcPr>
            <w:tcW w:w="1866" w:type="dxa"/>
          </w:tcPr>
          <w:p w:rsidR="00F6724E" w:rsidRDefault="00F6724E" w:rsidP="0010614E">
            <w:pPr>
              <w:pStyle w:val="TableText"/>
            </w:pPr>
            <w:r>
              <w:t>Review of Ecology atmospheric transport study</w:t>
            </w:r>
          </w:p>
        </w:tc>
        <w:tc>
          <w:tcPr>
            <w:tcW w:w="2070" w:type="dxa"/>
          </w:tcPr>
          <w:p w:rsidR="00F6724E" w:rsidRDefault="00F6724E" w:rsidP="0010614E">
            <w:pPr>
              <w:pStyle w:val="TableText"/>
            </w:pPr>
            <w:r>
              <w:t>Within one year of issuance of study</w:t>
            </w:r>
          </w:p>
        </w:tc>
        <w:tc>
          <w:tcPr>
            <w:tcW w:w="2139" w:type="dxa"/>
          </w:tcPr>
          <w:p w:rsidR="00F6724E" w:rsidRDefault="00F6724E" w:rsidP="0010614E">
            <w:pPr>
              <w:pStyle w:val="TableText"/>
            </w:pPr>
            <w:r>
              <w:t>Determination</w:t>
            </w:r>
            <w:r w:rsidRPr="003B2A0F">
              <w:t xml:space="preserve"> </w:t>
            </w:r>
            <w:r>
              <w:t xml:space="preserve">of need for more </w:t>
            </w:r>
            <w:r w:rsidRPr="00EE7EC9">
              <w:t xml:space="preserve">regulatory control </w:t>
            </w:r>
            <w:r>
              <w:t xml:space="preserve">(e.g. used </w:t>
            </w:r>
            <w:r w:rsidRPr="00EE7EC9">
              <w:t>oil burning</w:t>
            </w:r>
            <w:r>
              <w:t>)</w:t>
            </w:r>
          </w:p>
        </w:tc>
        <w:tc>
          <w:tcPr>
            <w:tcW w:w="2001" w:type="dxa"/>
          </w:tcPr>
          <w:p w:rsidR="00F6724E" w:rsidRDefault="00F6724E" w:rsidP="0010614E">
            <w:pPr>
              <w:pStyle w:val="TableText"/>
              <w:jc w:val="center"/>
            </w:pPr>
            <w:r>
              <w:t>Task Force – Technical Track Work Group</w:t>
            </w:r>
          </w:p>
        </w:tc>
      </w:tr>
      <w:tr w:rsidR="00F6724E" w:rsidTr="0010614E">
        <w:trPr>
          <w:jc w:val="center"/>
        </w:trPr>
        <w:tc>
          <w:tcPr>
            <w:tcW w:w="1284" w:type="dxa"/>
          </w:tcPr>
          <w:p w:rsidR="00F6724E" w:rsidRDefault="00F6724E" w:rsidP="0010614E">
            <w:pPr>
              <w:pStyle w:val="TableText"/>
            </w:pPr>
            <w:r w:rsidRPr="007C61CB">
              <w:t>Compliance with PCB Regulations</w:t>
            </w:r>
          </w:p>
        </w:tc>
        <w:tc>
          <w:tcPr>
            <w:tcW w:w="1866" w:type="dxa"/>
          </w:tcPr>
          <w:p w:rsidR="00F6724E" w:rsidRDefault="00F6724E" w:rsidP="0010614E">
            <w:pPr>
              <w:pStyle w:val="TableText"/>
            </w:pPr>
            <w:r>
              <w:t xml:space="preserve">Changes in regulatory control of atmospheric sources </w:t>
            </w:r>
          </w:p>
        </w:tc>
        <w:tc>
          <w:tcPr>
            <w:tcW w:w="2070" w:type="dxa"/>
          </w:tcPr>
          <w:p w:rsidR="00F6724E" w:rsidRDefault="00F6724E" w:rsidP="0010614E">
            <w:pPr>
              <w:pStyle w:val="TableText"/>
            </w:pPr>
            <w:r>
              <w:t>Within five  years of issuance of Comprehensive Plan</w:t>
            </w:r>
          </w:p>
        </w:tc>
        <w:tc>
          <w:tcPr>
            <w:tcW w:w="2139" w:type="dxa"/>
          </w:tcPr>
          <w:p w:rsidR="00F6724E" w:rsidRDefault="00F6724E" w:rsidP="0010614E">
            <w:pPr>
              <w:pStyle w:val="TableText"/>
            </w:pPr>
            <w:r>
              <w:t>Process initiated towards change in regulatory control</w:t>
            </w:r>
          </w:p>
        </w:tc>
        <w:tc>
          <w:tcPr>
            <w:tcW w:w="2001" w:type="dxa"/>
          </w:tcPr>
          <w:p w:rsidR="00F6724E" w:rsidRDefault="00F6724E" w:rsidP="0010614E">
            <w:pPr>
              <w:pStyle w:val="TableText"/>
              <w:jc w:val="center"/>
            </w:pPr>
            <w:r>
              <w:t>Task Force</w:t>
            </w:r>
          </w:p>
        </w:tc>
      </w:tr>
      <w:tr w:rsidR="00F6724E" w:rsidTr="0010614E">
        <w:trPr>
          <w:jc w:val="center"/>
        </w:trPr>
        <w:tc>
          <w:tcPr>
            <w:tcW w:w="1284" w:type="dxa"/>
          </w:tcPr>
          <w:p w:rsidR="00F6724E" w:rsidRPr="007C61CB" w:rsidRDefault="00F6724E" w:rsidP="0010614E">
            <w:pPr>
              <w:pStyle w:val="TableText"/>
            </w:pPr>
            <w:r>
              <w:t>Emerging Stormwater Technologies</w:t>
            </w:r>
          </w:p>
        </w:tc>
        <w:tc>
          <w:tcPr>
            <w:tcW w:w="1866" w:type="dxa"/>
          </w:tcPr>
          <w:p w:rsidR="00F6724E" w:rsidRDefault="00F6724E" w:rsidP="0010614E">
            <w:pPr>
              <w:pStyle w:val="TableText"/>
            </w:pPr>
            <w:r>
              <w:t>Assessment of Phase 1 results</w:t>
            </w:r>
            <w:r w:rsidRPr="003B2A0F">
              <w:t xml:space="preserve"> </w:t>
            </w:r>
          </w:p>
        </w:tc>
        <w:tc>
          <w:tcPr>
            <w:tcW w:w="2070" w:type="dxa"/>
          </w:tcPr>
          <w:p w:rsidR="00F6724E" w:rsidRDefault="00F6724E" w:rsidP="0010614E">
            <w:pPr>
              <w:pStyle w:val="TableText"/>
            </w:pPr>
            <w:r>
              <w:t>Within one year of completion of Phase 1 report</w:t>
            </w:r>
          </w:p>
        </w:tc>
        <w:tc>
          <w:tcPr>
            <w:tcW w:w="2139" w:type="dxa"/>
          </w:tcPr>
          <w:p w:rsidR="00F6724E" w:rsidRDefault="00F6724E" w:rsidP="0010614E">
            <w:pPr>
              <w:pStyle w:val="TableText"/>
            </w:pPr>
            <w:r>
              <w:t xml:space="preserve">Feedback provided </w:t>
            </w:r>
          </w:p>
        </w:tc>
        <w:tc>
          <w:tcPr>
            <w:tcW w:w="2001" w:type="dxa"/>
          </w:tcPr>
          <w:p w:rsidR="00F6724E" w:rsidRDefault="00F6724E" w:rsidP="0010614E">
            <w:pPr>
              <w:pStyle w:val="TableText"/>
              <w:jc w:val="center"/>
            </w:pPr>
            <w:r>
              <w:t>Task Force - Technical Track Work Group</w:t>
            </w:r>
          </w:p>
        </w:tc>
      </w:tr>
      <w:tr w:rsidR="00F6724E" w:rsidTr="0010614E">
        <w:trPr>
          <w:jc w:val="center"/>
        </w:trPr>
        <w:tc>
          <w:tcPr>
            <w:tcW w:w="1284" w:type="dxa"/>
          </w:tcPr>
          <w:p w:rsidR="00F6724E" w:rsidRPr="007C61CB" w:rsidRDefault="00F6724E" w:rsidP="0010614E">
            <w:pPr>
              <w:pStyle w:val="TableText"/>
            </w:pPr>
            <w:r>
              <w:t>Emerging Stormwater Technologies</w:t>
            </w:r>
          </w:p>
        </w:tc>
        <w:tc>
          <w:tcPr>
            <w:tcW w:w="1866" w:type="dxa"/>
          </w:tcPr>
          <w:p w:rsidR="00F6724E" w:rsidRDefault="00F6724E" w:rsidP="0010614E">
            <w:pPr>
              <w:pStyle w:val="TableText"/>
            </w:pPr>
            <w:r>
              <w:t>Phase 2 support</w:t>
            </w:r>
          </w:p>
        </w:tc>
        <w:tc>
          <w:tcPr>
            <w:tcW w:w="2070" w:type="dxa"/>
          </w:tcPr>
          <w:p w:rsidR="00F6724E" w:rsidRDefault="00F6724E" w:rsidP="0010614E">
            <w:pPr>
              <w:pStyle w:val="TableText"/>
            </w:pPr>
            <w:r>
              <w:t>Within one year of completion of Phase 1 report</w:t>
            </w:r>
          </w:p>
        </w:tc>
        <w:tc>
          <w:tcPr>
            <w:tcW w:w="2139" w:type="dxa"/>
          </w:tcPr>
          <w:p w:rsidR="00F6724E" w:rsidRDefault="00F6724E" w:rsidP="0010614E">
            <w:pPr>
              <w:pStyle w:val="TableText"/>
            </w:pPr>
            <w:r>
              <w:t>Level of support defined and provided</w:t>
            </w:r>
            <w:r w:rsidRPr="003B2A0F">
              <w:t xml:space="preserve"> </w:t>
            </w:r>
          </w:p>
        </w:tc>
        <w:tc>
          <w:tcPr>
            <w:tcW w:w="2001" w:type="dxa"/>
          </w:tcPr>
          <w:p w:rsidR="00F6724E" w:rsidRDefault="00F6724E" w:rsidP="0010614E">
            <w:pPr>
              <w:pStyle w:val="TableText"/>
              <w:jc w:val="center"/>
            </w:pPr>
            <w:r>
              <w:t>Task Force - Technical Track Work Group</w:t>
            </w:r>
          </w:p>
        </w:tc>
      </w:tr>
    </w:tbl>
    <w:p w:rsidR="00373D40" w:rsidRPr="0077612C" w:rsidRDefault="00373D40" w:rsidP="00373D40">
      <w:pPr>
        <w:pStyle w:val="Heading3"/>
        <w:numPr>
          <w:ilvl w:val="0"/>
          <w:numId w:val="0"/>
        </w:numPr>
      </w:pPr>
      <w:r w:rsidRPr="0077612C">
        <w:t>5.15.2</w:t>
      </w:r>
      <w:r w:rsidRPr="0077612C">
        <w:tab/>
        <w:t xml:space="preserve">Actions That </w:t>
      </w:r>
      <w:r w:rsidRPr="00051146">
        <w:t>Require Development of New Work Plans</w:t>
      </w:r>
    </w:p>
    <w:p w:rsidR="00373D40" w:rsidRDefault="00373D40" w:rsidP="00373D40">
      <w:pPr>
        <w:pStyle w:val="BodyTextCorrectone"/>
      </w:pPr>
      <w:r>
        <w:t>The Task Force determined that the following Control Actions were important to implement, but will require additional consideration and development of specific work plans before schedules can be developed for them.</w:t>
      </w:r>
    </w:p>
    <w:p w:rsidR="00373D40" w:rsidRDefault="00373D40" w:rsidP="00373D40">
      <w:pPr>
        <w:pStyle w:val="BodyTextCorrectone"/>
        <w:numPr>
          <w:ilvl w:val="0"/>
          <w:numId w:val="3"/>
        </w:numPr>
      </w:pPr>
      <w:r>
        <w:t xml:space="preserve">Support of Green Chemistry Alternatives </w:t>
      </w:r>
    </w:p>
    <w:p w:rsidR="00373D40" w:rsidRDefault="00373D40" w:rsidP="00373D40">
      <w:pPr>
        <w:pStyle w:val="BodyTextCorrectone"/>
        <w:numPr>
          <w:ilvl w:val="0"/>
          <w:numId w:val="3"/>
        </w:numPr>
      </w:pPr>
      <w:r w:rsidRPr="000E4DEA">
        <w:lastRenderedPageBreak/>
        <w:t xml:space="preserve">Waste Disposal Assistance </w:t>
      </w:r>
    </w:p>
    <w:p w:rsidR="00373D40" w:rsidRDefault="00373D40" w:rsidP="00373D40">
      <w:pPr>
        <w:pStyle w:val="BodyTextCorrectone"/>
        <w:numPr>
          <w:ilvl w:val="0"/>
          <w:numId w:val="3"/>
        </w:numPr>
      </w:pPr>
      <w:r w:rsidRPr="000E4DEA">
        <w:t xml:space="preserve">Regulatory Rulemaking </w:t>
      </w:r>
    </w:p>
    <w:p w:rsidR="00373D40" w:rsidRDefault="00373D40" w:rsidP="00373D40">
      <w:pPr>
        <w:pStyle w:val="BodyTextCorrectone"/>
        <w:numPr>
          <w:ilvl w:val="0"/>
          <w:numId w:val="3"/>
        </w:numPr>
      </w:pPr>
      <w:r w:rsidRPr="000E4DEA">
        <w:t>Building Demolition and Renovation Control</w:t>
      </w:r>
    </w:p>
    <w:p w:rsidR="00373D40" w:rsidRDefault="00373D40" w:rsidP="00373D40">
      <w:pPr>
        <w:pStyle w:val="BodyTextCorrectone"/>
        <w:numPr>
          <w:ilvl w:val="0"/>
          <w:numId w:val="3"/>
        </w:numPr>
      </w:pPr>
      <w:r w:rsidRPr="000E4DEA">
        <w:t xml:space="preserve">Identification of Sites of Concern for Contaminated Groundwater </w:t>
      </w:r>
    </w:p>
    <w:p w:rsidR="00373D40" w:rsidRDefault="00373D40" w:rsidP="00373D40">
      <w:pPr>
        <w:pStyle w:val="BodyTextCorrectone"/>
      </w:pPr>
      <w:r>
        <w:t>Work plans containing milestones, timelines, and effectiveness metrics for each of these Control Actions will be developed within one year of issuance of the Comprehensive Plan.</w:t>
      </w:r>
    </w:p>
    <w:p w:rsidR="00357198" w:rsidRDefault="00373D40" w:rsidP="00373D40">
      <w:r>
        <w:t xml:space="preserve">While not technically a Control Action, a work plan will also be developed within one year of issuance of the Comprehensive Plan pertaining to education and outreach. </w:t>
      </w:r>
      <w:r w:rsidRPr="009A3B4F">
        <w:t>Because the connections between sources of PCBs and their potential eventual arrival in the water column and aquatic food web often involve human behaviors, education will be a key aspect in controlling their transport and fate.  SRRTTF outreach and education will focus on effectively changing behaviors to reduce toxics in the Spokane River.</w:t>
      </w:r>
      <w:r>
        <w:t xml:space="preserve"> </w:t>
      </w:r>
      <w:r w:rsidRPr="009A3B4F">
        <w:t>An on-going Education and Outreach work group will explore additional funding to enhance existing member educational efforts. The group will implement a comprehensive outreach strategy with measurable targets to assess implementation and outreach effectiveness.  To that end, the SRRTTF will also optimize existing opportunities (</w:t>
      </w:r>
      <w:r>
        <w:t>events/media) to change behavio</w:t>
      </w:r>
      <w:r w:rsidRPr="009A3B4F">
        <w:t>rs and reduce PCB loading to the Spokane River.</w:t>
      </w:r>
    </w:p>
    <w:sectPr w:rsidR="003571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7A3" w:rsidRDefault="00D217A3" w:rsidP="00D217A3">
      <w:pPr>
        <w:spacing w:line="240" w:lineRule="auto"/>
      </w:pPr>
      <w:r>
        <w:separator/>
      </w:r>
    </w:p>
  </w:endnote>
  <w:endnote w:type="continuationSeparator" w:id="0">
    <w:p w:rsidR="00D217A3" w:rsidRDefault="00D217A3" w:rsidP="00D21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7A3" w:rsidRDefault="00D217A3" w:rsidP="00D217A3">
      <w:pPr>
        <w:spacing w:line="240" w:lineRule="auto"/>
      </w:pPr>
      <w:r>
        <w:separator/>
      </w:r>
    </w:p>
  </w:footnote>
  <w:footnote w:type="continuationSeparator" w:id="0">
    <w:p w:rsidR="00D217A3" w:rsidRDefault="00D217A3" w:rsidP="00D217A3">
      <w:pPr>
        <w:spacing w:line="240" w:lineRule="auto"/>
      </w:pPr>
      <w:r>
        <w:continuationSeparator/>
      </w:r>
    </w:p>
  </w:footnote>
  <w:footnote w:id="1">
    <w:p w:rsidR="00F6724E" w:rsidRDefault="00F6724E" w:rsidP="00F6724E">
      <w:pPr>
        <w:pStyle w:val="FootnoteText"/>
      </w:pPr>
      <w:r>
        <w:rPr>
          <w:rStyle w:val="FootnoteReference"/>
        </w:rPr>
        <w:footnoteRef/>
      </w:r>
      <w:r>
        <w:t xml:space="preserve"> The </w:t>
      </w:r>
      <w:r w:rsidRPr="007750C6">
        <w:t>entity</w:t>
      </w:r>
      <w:r>
        <w:t xml:space="preserve"> listed as Leader</w:t>
      </w:r>
      <w:r w:rsidRPr="007750C6">
        <w:t xml:space="preserve"> is a suggestion </w:t>
      </w:r>
      <w:r>
        <w:t>of who will take primary responsibility to see that the task is conducted. O</w:t>
      </w:r>
      <w:r w:rsidRPr="007750C6">
        <w:t>thers, of course, are welcome</w:t>
      </w:r>
      <w:r>
        <w:t>d</w:t>
      </w:r>
      <w:r w:rsidRPr="007750C6">
        <w:t xml:space="preserve"> and encouraged to support the activities involved</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B6332"/>
    <w:multiLevelType w:val="hybridMultilevel"/>
    <w:tmpl w:val="90E66818"/>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 w15:restartNumberingAfterBreak="0">
    <w:nsid w:val="64A841AE"/>
    <w:multiLevelType w:val="hybridMultilevel"/>
    <w:tmpl w:val="CDB2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BA50DD"/>
    <w:multiLevelType w:val="hybridMultilevel"/>
    <w:tmpl w:val="09EAB6DE"/>
    <w:lvl w:ilvl="0" w:tplc="00844392">
      <w:start w:val="1"/>
      <w:numFmt w:val="decimal"/>
      <w:pStyle w:val="Heading3"/>
      <w:lvlText w:val="%1.1.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D40"/>
    <w:rsid w:val="00022B05"/>
    <w:rsid w:val="001864C3"/>
    <w:rsid w:val="00357198"/>
    <w:rsid w:val="00373D40"/>
    <w:rsid w:val="00534644"/>
    <w:rsid w:val="0087158D"/>
    <w:rsid w:val="00D0581E"/>
    <w:rsid w:val="00D217A3"/>
    <w:rsid w:val="00F6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942C9-D4E8-448A-80A2-5C345A41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73D40"/>
    <w:pPr>
      <w:spacing w:after="0" w:line="276" w:lineRule="auto"/>
    </w:pPr>
    <w:rPr>
      <w:rFonts w:ascii="Georgia" w:eastAsia="Times New Roman" w:hAnsi="Georgia" w:cs="Times New Roman"/>
      <w:sz w:val="20"/>
      <w:szCs w:val="24"/>
    </w:rPr>
  </w:style>
  <w:style w:type="paragraph" w:styleId="Heading2">
    <w:name w:val="heading 2"/>
    <w:basedOn w:val="Normal"/>
    <w:next w:val="BodyTextCorrectone"/>
    <w:link w:val="Heading2Char"/>
    <w:unhideWhenUsed/>
    <w:qFormat/>
    <w:rsid w:val="00373D40"/>
    <w:pPr>
      <w:keepNext/>
      <w:keepLines/>
      <w:spacing w:before="200"/>
      <w:outlineLvl w:val="1"/>
    </w:pPr>
    <w:rPr>
      <w:rFonts w:asciiTheme="majorHAnsi" w:eastAsiaTheme="majorEastAsia" w:hAnsiTheme="majorHAnsi" w:cstheme="majorBidi"/>
      <w:b/>
      <w:bCs/>
      <w:color w:val="174A7C"/>
      <w:sz w:val="28"/>
      <w:szCs w:val="26"/>
    </w:rPr>
  </w:style>
  <w:style w:type="paragraph" w:styleId="Heading3">
    <w:name w:val="heading 3"/>
    <w:basedOn w:val="Normal"/>
    <w:next w:val="BodyTextCorrectone"/>
    <w:link w:val="Heading3Char"/>
    <w:unhideWhenUsed/>
    <w:qFormat/>
    <w:rsid w:val="00373D40"/>
    <w:pPr>
      <w:keepNext/>
      <w:keepLines/>
      <w:numPr>
        <w:numId w:val="1"/>
      </w:numPr>
      <w:spacing w:before="240" w:after="60"/>
      <w:ind w:left="360"/>
      <w:outlineLvl w:val="2"/>
    </w:pPr>
    <w:rPr>
      <w:rFonts w:asciiTheme="majorHAnsi" w:eastAsiaTheme="majorEastAsia" w:hAnsiTheme="majorHAnsi"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3D40"/>
    <w:rPr>
      <w:rFonts w:asciiTheme="majorHAnsi" w:eastAsiaTheme="majorEastAsia" w:hAnsiTheme="majorHAnsi" w:cstheme="majorBidi"/>
      <w:b/>
      <w:bCs/>
      <w:color w:val="174A7C"/>
      <w:sz w:val="28"/>
      <w:szCs w:val="26"/>
    </w:rPr>
  </w:style>
  <w:style w:type="character" w:customStyle="1" w:styleId="Heading3Char">
    <w:name w:val="Heading 3 Char"/>
    <w:basedOn w:val="DefaultParagraphFont"/>
    <w:link w:val="Heading3"/>
    <w:rsid w:val="00373D40"/>
    <w:rPr>
      <w:rFonts w:asciiTheme="majorHAnsi" w:eastAsiaTheme="majorEastAsia" w:hAnsiTheme="majorHAnsi" w:cstheme="majorBidi"/>
      <w:b/>
      <w:bCs/>
      <w:color w:val="000000" w:themeColor="text1"/>
      <w:sz w:val="24"/>
      <w:szCs w:val="24"/>
    </w:rPr>
  </w:style>
  <w:style w:type="paragraph" w:customStyle="1" w:styleId="BodyTextCorrectone">
    <w:name w:val="Body_Text_Correct one"/>
    <w:basedOn w:val="Normal"/>
    <w:qFormat/>
    <w:rsid w:val="00373D40"/>
    <w:pPr>
      <w:spacing w:before="120" w:after="120"/>
    </w:pPr>
  </w:style>
  <w:style w:type="paragraph" w:styleId="Caption">
    <w:name w:val="caption"/>
    <w:basedOn w:val="Normal"/>
    <w:next w:val="BodyTextCorrectone"/>
    <w:link w:val="CaptionChar"/>
    <w:unhideWhenUsed/>
    <w:qFormat/>
    <w:rsid w:val="00373D40"/>
    <w:pPr>
      <w:spacing w:before="60" w:after="60" w:line="240" w:lineRule="auto"/>
    </w:pPr>
    <w:rPr>
      <w:b/>
      <w:bCs/>
      <w:color w:val="174A7C"/>
      <w:sz w:val="18"/>
      <w:szCs w:val="18"/>
    </w:rPr>
  </w:style>
  <w:style w:type="character" w:customStyle="1" w:styleId="CaptionChar">
    <w:name w:val="Caption Char"/>
    <w:basedOn w:val="DefaultParagraphFont"/>
    <w:link w:val="Caption"/>
    <w:locked/>
    <w:rsid w:val="00373D40"/>
    <w:rPr>
      <w:rFonts w:ascii="Georgia" w:eastAsia="Times New Roman" w:hAnsi="Georgia" w:cs="Times New Roman"/>
      <w:b/>
      <w:bCs/>
      <w:color w:val="174A7C"/>
      <w:sz w:val="18"/>
      <w:szCs w:val="18"/>
    </w:rPr>
  </w:style>
  <w:style w:type="paragraph" w:customStyle="1" w:styleId="TableText">
    <w:name w:val="Table_Text"/>
    <w:qFormat/>
    <w:rsid w:val="00373D40"/>
    <w:pPr>
      <w:spacing w:before="20" w:after="20" w:line="240" w:lineRule="auto"/>
    </w:pPr>
    <w:rPr>
      <w:rFonts w:ascii="Calibri" w:eastAsia="Times New Roman" w:hAnsi="Calibri" w:cs="Times New Roman"/>
      <w:color w:val="000000" w:themeColor="text1"/>
      <w:sz w:val="20"/>
      <w:szCs w:val="24"/>
    </w:rPr>
  </w:style>
  <w:style w:type="paragraph" w:customStyle="1" w:styleId="TableTextHeadings">
    <w:name w:val="Table_Text Headings"/>
    <w:basedOn w:val="TableText"/>
    <w:rsid w:val="00373D40"/>
    <w:pPr>
      <w:spacing w:before="120" w:after="120"/>
      <w:jc w:val="center"/>
    </w:pPr>
    <w:rPr>
      <w:bCs/>
      <w:color w:val="FFFFFF" w:themeColor="background1"/>
      <w:szCs w:val="20"/>
    </w:rPr>
  </w:style>
  <w:style w:type="paragraph" w:styleId="FootnoteText">
    <w:name w:val="footnote text"/>
    <w:basedOn w:val="Normal"/>
    <w:link w:val="FootnoteTextChar"/>
    <w:uiPriority w:val="99"/>
    <w:semiHidden/>
    <w:unhideWhenUsed/>
    <w:rsid w:val="00D217A3"/>
    <w:pPr>
      <w:spacing w:line="240" w:lineRule="auto"/>
    </w:pPr>
    <w:rPr>
      <w:szCs w:val="20"/>
    </w:rPr>
  </w:style>
  <w:style w:type="character" w:customStyle="1" w:styleId="FootnoteTextChar">
    <w:name w:val="Footnote Text Char"/>
    <w:basedOn w:val="DefaultParagraphFont"/>
    <w:link w:val="FootnoteText"/>
    <w:uiPriority w:val="99"/>
    <w:semiHidden/>
    <w:rsid w:val="00D217A3"/>
    <w:rPr>
      <w:rFonts w:ascii="Georgia" w:eastAsia="Times New Roman" w:hAnsi="Georgia" w:cs="Times New Roman"/>
      <w:sz w:val="20"/>
      <w:szCs w:val="20"/>
    </w:rPr>
  </w:style>
  <w:style w:type="character" w:styleId="FootnoteReference">
    <w:name w:val="footnote reference"/>
    <w:basedOn w:val="DefaultParagraphFont"/>
    <w:uiPriority w:val="99"/>
    <w:semiHidden/>
    <w:unhideWhenUsed/>
    <w:rsid w:val="00D217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B2DAE-36F0-492B-ACA9-E69772598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Dilks</dc:creator>
  <cp:keywords/>
  <dc:description/>
  <cp:lastModifiedBy>Kara Whitman</cp:lastModifiedBy>
  <cp:revision>2</cp:revision>
  <dcterms:created xsi:type="dcterms:W3CDTF">2016-10-31T21:25:00Z</dcterms:created>
  <dcterms:modified xsi:type="dcterms:W3CDTF">2016-10-31T21:25:00Z</dcterms:modified>
</cp:coreProperties>
</file>