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23" w:rsidRPr="00645089" w:rsidRDefault="00A33723" w:rsidP="00A33723">
      <w:pPr>
        <w:spacing w:after="0" w:line="240" w:lineRule="auto"/>
        <w:jc w:val="center"/>
        <w:rPr>
          <w:rFonts w:cs="Times New Roman"/>
          <w:b/>
        </w:rPr>
      </w:pPr>
      <w:bookmarkStart w:id="0" w:name="_GoBack"/>
      <w:bookmarkEnd w:id="0"/>
      <w:r w:rsidRPr="00645089">
        <w:rPr>
          <w:rFonts w:cs="Times New Roman"/>
          <w:b/>
        </w:rPr>
        <w:t xml:space="preserve">Spokane River Regional Toxics Task Force </w:t>
      </w:r>
    </w:p>
    <w:p w:rsidR="00680993" w:rsidRPr="00645089" w:rsidRDefault="00A33723" w:rsidP="00A33723">
      <w:pPr>
        <w:spacing w:line="240" w:lineRule="auto"/>
        <w:jc w:val="center"/>
        <w:rPr>
          <w:rFonts w:cs="Times New Roman"/>
          <w:b/>
        </w:rPr>
      </w:pPr>
      <w:r w:rsidRPr="00645089">
        <w:rPr>
          <w:rFonts w:cs="Times New Roman"/>
          <w:b/>
        </w:rPr>
        <w:t>Glossary</w:t>
      </w:r>
      <w:r w:rsidR="008034D6" w:rsidRPr="00645089">
        <w:rPr>
          <w:rFonts w:cs="Times New Roman"/>
          <w:b/>
        </w:rPr>
        <w:t xml:space="preserve"> of Terms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90"/>
        <w:gridCol w:w="7115"/>
      </w:tblGrid>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Accuracy</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513334" w:rsidP="00BF76CC">
            <w:pPr>
              <w:autoSpaceDE w:val="0"/>
              <w:autoSpaceDN w:val="0"/>
              <w:adjustRightInd w:val="0"/>
              <w:rPr>
                <w:rFonts w:cs="Times New Roman"/>
              </w:rPr>
            </w:pPr>
            <w:r w:rsidRPr="00645089">
              <w:rPr>
                <w:rFonts w:cs="TimesNewRoman"/>
              </w:rPr>
              <w:t>In Quality Assurance Project Plans, a measure of the overall agreement of a measurement to a known value; includes a combination of random</w:t>
            </w:r>
            <w:r w:rsidR="00BF76CC" w:rsidRPr="00645089">
              <w:rPr>
                <w:rFonts w:cs="TimesNewRoman"/>
              </w:rPr>
              <w:t xml:space="preserve"> </w:t>
            </w:r>
            <w:r w:rsidRPr="00645089">
              <w:rPr>
                <w:rFonts w:cs="TimesNewRoman"/>
              </w:rPr>
              <w:t>error (precision) and systematic error (bias) components of both sampling and analytical operations. Accuracy is determined by analysis of a reference material or reanalysis of a sample to which a material of known concentration or amount of</w:t>
            </w:r>
            <w:r w:rsidR="0026292B" w:rsidRPr="00645089">
              <w:rPr>
                <w:rFonts w:cs="TimesNewRoman"/>
              </w:rPr>
              <w:t xml:space="preserve"> </w:t>
            </w:r>
            <w:r w:rsidRPr="00645089">
              <w:rPr>
                <w:rFonts w:cs="TimesNewRoman"/>
              </w:rPr>
              <w:t>pollutant has been added; usually</w:t>
            </w:r>
            <w:r w:rsidR="0026292B" w:rsidRPr="00645089">
              <w:rPr>
                <w:rFonts w:cs="TimesNewRoman"/>
              </w:rPr>
              <w:t xml:space="preserve"> </w:t>
            </w:r>
            <w:r w:rsidRPr="00645089">
              <w:rPr>
                <w:rFonts w:cs="TimesNewRoman"/>
              </w:rPr>
              <w:t>expressed either as percent recovery or</w:t>
            </w:r>
            <w:r w:rsidR="0026292B" w:rsidRPr="00645089">
              <w:rPr>
                <w:rFonts w:cs="TimesNewRoman"/>
              </w:rPr>
              <w:t xml:space="preserve"> </w:t>
            </w:r>
            <w:r w:rsidRPr="00645089">
              <w:rPr>
                <w:rFonts w:cs="TimesNewRoman"/>
              </w:rPr>
              <w:t>as a percent bias.</w:t>
            </w:r>
            <w:r w:rsidR="0026292B" w:rsidRPr="00645089">
              <w:rPr>
                <w:rFonts w:cs="TimesNewRoman"/>
              </w:rPr>
              <w:t xml:space="preserve">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Adaptive Management</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A management approach that addresses uncertainty through iterative decision making based on monitoring outcomes and incorporating new information as it is learned.</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Administrative and Contracting Entity (ACE)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513334">
            <w:pPr>
              <w:rPr>
                <w:rFonts w:cs="Times New Roman"/>
              </w:rPr>
            </w:pPr>
            <w:r w:rsidRPr="00645089">
              <w:rPr>
                <w:rFonts w:cs="Times New Roman"/>
              </w:rPr>
              <w:t xml:space="preserve">The program management and contracting </w:t>
            </w:r>
            <w:r w:rsidR="00513334" w:rsidRPr="00645089">
              <w:rPr>
                <w:rFonts w:cs="Times New Roman"/>
              </w:rPr>
              <w:t xml:space="preserve">entity </w:t>
            </w:r>
            <w:r w:rsidRPr="00645089">
              <w:rPr>
                <w:rFonts w:cs="Times New Roman"/>
              </w:rPr>
              <w:t>for the Spokane River Regional Toxics Task Force</w:t>
            </w:r>
            <w:r w:rsidR="0060578F" w:rsidRPr="00645089">
              <w:rPr>
                <w:rFonts w:cs="Times New Roman"/>
              </w:rPr>
              <w:t xml:space="preserve"> (SRRTTF)</w:t>
            </w:r>
            <w:r w:rsidRPr="00645089">
              <w:rPr>
                <w:rFonts w:cs="Times New Roman"/>
              </w:rPr>
              <w:t>.</w:t>
            </w:r>
            <w:r w:rsidR="0060578F" w:rsidRPr="00645089">
              <w:rPr>
                <w:rFonts w:cs="Times New Roman"/>
              </w:rPr>
              <w:t xml:space="preserve"> Ace serves at the will of the SRRTTF.</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Ambient Concentrations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7150B9">
            <w:pPr>
              <w:rPr>
                <w:rFonts w:cs="Times New Roman"/>
              </w:rPr>
            </w:pPr>
            <w:r w:rsidRPr="00645089">
              <w:rPr>
                <w:rFonts w:cs="Times New Roman"/>
              </w:rPr>
              <w:t xml:space="preserve">Concentrations of PCBs that are in the immediate surroundings where a sample is </w:t>
            </w:r>
            <w:r w:rsidR="00645089" w:rsidRPr="00645089">
              <w:rPr>
                <w:rFonts w:cs="Times New Roman"/>
              </w:rPr>
              <w:t>collected</w:t>
            </w:r>
            <w:r w:rsidR="007150B9" w:rsidRPr="00645089">
              <w:rPr>
                <w:rFonts w:cs="Times New Roman"/>
              </w:rPr>
              <w:t xml:space="preserve"> often associated with concentrations in air. </w:t>
            </w:r>
          </w:p>
        </w:tc>
      </w:tr>
      <w:tr w:rsidR="00F633D0" w:rsidRPr="00645089" w:rsidTr="00022F4F">
        <w:trPr>
          <w:trHeight w:val="657"/>
        </w:trPr>
        <w:tc>
          <w:tcPr>
            <w:tcW w:w="2243" w:type="dxa"/>
            <w:vAlign w:val="center"/>
          </w:tcPr>
          <w:p w:rsidR="00F633D0" w:rsidRPr="00645089" w:rsidRDefault="00F633D0" w:rsidP="00A33723">
            <w:pPr>
              <w:rPr>
                <w:rFonts w:cs="Times New Roman"/>
              </w:rPr>
            </w:pPr>
            <w:r w:rsidRPr="00645089">
              <w:rPr>
                <w:rFonts w:cs="Times New Roman"/>
              </w:rPr>
              <w:t>Analyte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C43C0A" w:rsidP="00C43C0A">
            <w:pPr>
              <w:rPr>
                <w:rFonts w:cs="Times New Roman"/>
              </w:rPr>
            </w:pPr>
            <w:r w:rsidRPr="00645089">
              <w:rPr>
                <w:rFonts w:cs="Times New Roman"/>
              </w:rPr>
              <w:t xml:space="preserve">The substance that is of chemical interest in an analysis. </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Aquifer / River Interchange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C43C0A">
            <w:pPr>
              <w:rPr>
                <w:rFonts w:cs="Times New Roman"/>
              </w:rPr>
            </w:pPr>
            <w:r w:rsidRPr="00645089">
              <w:rPr>
                <w:rFonts w:cs="Times New Roman"/>
              </w:rPr>
              <w:t xml:space="preserve">A location where groundwater and surface river water interact.  Groundwater can either be </w:t>
            </w:r>
            <w:r w:rsidR="00C43C0A" w:rsidRPr="00645089">
              <w:rPr>
                <w:rFonts w:cs="Times New Roman"/>
              </w:rPr>
              <w:t xml:space="preserve">introduced </w:t>
            </w:r>
            <w:r w:rsidRPr="00645089">
              <w:rPr>
                <w:rFonts w:cs="Times New Roman"/>
              </w:rPr>
              <w:t xml:space="preserve">to the river or </w:t>
            </w:r>
            <w:r w:rsidR="00C43C0A" w:rsidRPr="00645089">
              <w:rPr>
                <w:rFonts w:cs="Times New Roman"/>
              </w:rPr>
              <w:t>r</w:t>
            </w:r>
            <w:r w:rsidRPr="00645089">
              <w:rPr>
                <w:rFonts w:cs="Times New Roman"/>
              </w:rPr>
              <w:t>iver water can be lost to groundwater.</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Aroclors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C43C0A" w:rsidP="00A33723">
            <w:pPr>
              <w:rPr>
                <w:rFonts w:cs="Times New Roman"/>
              </w:rPr>
            </w:pPr>
            <w:r w:rsidRPr="00645089">
              <w:rPr>
                <w:color w:val="000000"/>
              </w:rPr>
              <w:t>Aroclor is a PCB mixture produced from approximately 1930 to 1979. It is one of the most commonly known trade names for PCB mixtures. There are many types of Aroclors and each has a distinguishing suffix number that indicates the degree of chlorination.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Best Management Practices (BMPs)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83274F" w:rsidRPr="00645089" w:rsidRDefault="00C43C0A" w:rsidP="0083274F">
            <w:pPr>
              <w:rPr>
                <w:rFonts w:cs="Times New Roman"/>
              </w:rPr>
            </w:pPr>
            <w:r w:rsidRPr="00645089">
              <w:rPr>
                <w:rFonts w:cs="Times New Roman"/>
              </w:rPr>
              <w:t>Under the Clean Water Act, Best Management Practices include</w:t>
            </w:r>
            <w:r w:rsidR="0083274F" w:rsidRPr="00645089">
              <w:rPr>
                <w:rFonts w:cs="Times New Roman"/>
              </w:rPr>
              <w:t xml:space="preserve"> </w:t>
            </w:r>
            <w:r w:rsidR="0083274F" w:rsidRPr="00645089">
              <w:rPr>
                <w:rFonts w:cs="Arial"/>
                <w:color w:val="333333"/>
              </w:rPr>
              <w:t>schedules of activities, prohibitions of practices, maintenance procedures, and other management practices to prevent or reduce the pollution of “waters of the United States.” BMPs also include treatment requirements, operating procedures, and practices to control plant site runoff, spillage or leaks, sludge or waste disposal, or drainage from raw material storage. (40 CFR 122)</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Bias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26292B" w:rsidRPr="00645089" w:rsidRDefault="0026292B" w:rsidP="0026292B">
            <w:pPr>
              <w:autoSpaceDE w:val="0"/>
              <w:autoSpaceDN w:val="0"/>
              <w:adjustRightInd w:val="0"/>
              <w:rPr>
                <w:rFonts w:cs="Times New Roman"/>
              </w:rPr>
            </w:pPr>
            <w:r w:rsidRPr="00645089">
              <w:rPr>
                <w:rFonts w:cs="Times New Roman"/>
              </w:rPr>
              <w:t>In Quality Assurance Project Plans, t</w:t>
            </w:r>
            <w:r w:rsidRPr="00645089">
              <w:rPr>
                <w:rFonts w:cs="TimesNewRoman"/>
              </w:rPr>
              <w:t>he systematic or persistent distortion of a measurement process that causes errors in one direction. Bias is determined by analysis of reference materials or spiked matrix samples.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 xml:space="preserve">Blank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83274F" w:rsidRPr="00645089" w:rsidRDefault="0083274F" w:rsidP="00A33723">
            <w:pPr>
              <w:rPr>
                <w:rFonts w:cs="Times New Roman"/>
              </w:rPr>
            </w:pPr>
          </w:p>
          <w:p w:rsidR="0083274F" w:rsidRPr="00645089" w:rsidRDefault="0083274F" w:rsidP="0083274F">
            <w:pPr>
              <w:autoSpaceDE w:val="0"/>
              <w:autoSpaceDN w:val="0"/>
              <w:adjustRightInd w:val="0"/>
              <w:rPr>
                <w:rFonts w:cs="Times New Roman"/>
              </w:rPr>
            </w:pPr>
            <w:r w:rsidRPr="00645089">
              <w:rPr>
                <w:rFonts w:cs="TimesNewRoman"/>
              </w:rPr>
              <w:t>A “clean” sample that should contain none of the analyte of interest and is used to measure the sources of contamination at different collection and measurement stages. See also method blank and field blank.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 xml:space="preserve">Calibration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The process of establishing the relationship between the response of measurement system and the value of the parameter being measured.</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lastRenderedPageBreak/>
              <w:t>Calibration Verification</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Verification that the measuring device is meeting specific requirements as outlined by the manufacturer.</w:t>
            </w:r>
          </w:p>
        </w:tc>
      </w:tr>
      <w:tr w:rsidR="001A6FD4" w:rsidRPr="00645089" w:rsidTr="00022F4F">
        <w:trPr>
          <w:trHeight w:val="828"/>
        </w:trPr>
        <w:tc>
          <w:tcPr>
            <w:tcW w:w="2243" w:type="dxa"/>
            <w:vAlign w:val="center"/>
          </w:tcPr>
          <w:p w:rsidR="001A6FD4" w:rsidRPr="00645089" w:rsidRDefault="001A6FD4" w:rsidP="00A33723">
            <w:pPr>
              <w:rPr>
                <w:rFonts w:cs="Times New Roman"/>
              </w:rPr>
            </w:pPr>
            <w:r w:rsidRPr="00645089">
              <w:rPr>
                <w:rFonts w:cs="Times New Roman"/>
              </w:rPr>
              <w:t>Comparability</w:t>
            </w:r>
          </w:p>
        </w:tc>
        <w:tc>
          <w:tcPr>
            <w:tcW w:w="290" w:type="dxa"/>
            <w:vAlign w:val="center"/>
          </w:tcPr>
          <w:p w:rsidR="001A6FD4" w:rsidRPr="00645089" w:rsidRDefault="00F2396D" w:rsidP="00F633D0">
            <w:pPr>
              <w:jc w:val="center"/>
              <w:rPr>
                <w:rFonts w:cs="Times New Roman"/>
                <w:b/>
              </w:rPr>
            </w:pPr>
            <w:r w:rsidRPr="00645089">
              <w:rPr>
                <w:rFonts w:cs="Times New Roman"/>
                <w:b/>
              </w:rPr>
              <w:t>-</w:t>
            </w:r>
          </w:p>
        </w:tc>
        <w:tc>
          <w:tcPr>
            <w:tcW w:w="7115" w:type="dxa"/>
            <w:vAlign w:val="center"/>
          </w:tcPr>
          <w:p w:rsidR="001A6FD4" w:rsidRPr="00645089" w:rsidRDefault="007150B9" w:rsidP="001A6FD4">
            <w:pPr>
              <w:autoSpaceDE w:val="0"/>
              <w:autoSpaceDN w:val="0"/>
              <w:adjustRightInd w:val="0"/>
              <w:rPr>
                <w:rFonts w:cs="TimesNewRoman"/>
              </w:rPr>
            </w:pPr>
            <w:r w:rsidRPr="00645089">
              <w:rPr>
                <w:rFonts w:cs="TimesNewRoman"/>
              </w:rPr>
              <w:t xml:space="preserve">A </w:t>
            </w:r>
            <w:r w:rsidR="001A6FD4" w:rsidRPr="00645089">
              <w:rPr>
                <w:rFonts w:cs="TimesNewRoman"/>
              </w:rPr>
              <w:t>measure of confidence that one data</w:t>
            </w:r>
            <w:r w:rsidRPr="00645089">
              <w:rPr>
                <w:rFonts w:cs="TimesNewRoman"/>
              </w:rPr>
              <w:t xml:space="preserve"> </w:t>
            </w:r>
            <w:r w:rsidR="001A6FD4" w:rsidRPr="00645089">
              <w:rPr>
                <w:rFonts w:cs="TimesNewRoman"/>
              </w:rPr>
              <w:t>set can be compared to another and</w:t>
            </w:r>
          </w:p>
          <w:p w:rsidR="001A6FD4" w:rsidRPr="00645089" w:rsidRDefault="00645089" w:rsidP="007150B9">
            <w:pPr>
              <w:autoSpaceDE w:val="0"/>
              <w:autoSpaceDN w:val="0"/>
              <w:adjustRightInd w:val="0"/>
              <w:rPr>
                <w:rFonts w:cs="Times New Roman"/>
              </w:rPr>
            </w:pPr>
            <w:r w:rsidRPr="00645089">
              <w:rPr>
                <w:rFonts w:cs="TimesNewRoman"/>
              </w:rPr>
              <w:t>Can</w:t>
            </w:r>
            <w:r w:rsidR="001A6FD4" w:rsidRPr="00645089">
              <w:rPr>
                <w:rFonts w:cs="TimesNewRoman"/>
              </w:rPr>
              <w:t xml:space="preserve"> be combined for the decision(s)</w:t>
            </w:r>
            <w:r w:rsidR="007150B9" w:rsidRPr="00645089">
              <w:rPr>
                <w:rFonts w:cs="TimesNewRoman"/>
              </w:rPr>
              <w:t xml:space="preserve"> </w:t>
            </w:r>
            <w:r w:rsidR="001A6FD4" w:rsidRPr="00645089">
              <w:rPr>
                <w:rFonts w:cs="TimesNewRoman"/>
              </w:rPr>
              <w:t>to be made.</w:t>
            </w:r>
            <w:r w:rsidR="007150B9" w:rsidRPr="00645089">
              <w:rPr>
                <w:rFonts w:cs="TimesNewRoman"/>
              </w:rPr>
              <w:t xml:space="preserve"> Comparability is maintained by using consistent </w:t>
            </w:r>
            <w:r w:rsidR="001A6FD4" w:rsidRPr="00645089">
              <w:rPr>
                <w:rFonts w:cs="TimesNewRoman"/>
              </w:rPr>
              <w:t>sample collection and</w:t>
            </w:r>
            <w:r w:rsidR="007150B9" w:rsidRPr="00645089">
              <w:rPr>
                <w:rFonts w:cs="TimesNewRoman"/>
              </w:rPr>
              <w:t xml:space="preserve"> </w:t>
            </w:r>
            <w:r w:rsidR="001A6FD4" w:rsidRPr="00645089">
              <w:rPr>
                <w:rFonts w:cs="TimesNewRoman"/>
              </w:rPr>
              <w:t>handling methods, sample preparation</w:t>
            </w:r>
            <w:r w:rsidR="007150B9" w:rsidRPr="00645089">
              <w:rPr>
                <w:rFonts w:cs="TimesNewRoman"/>
              </w:rPr>
              <w:t xml:space="preserve"> </w:t>
            </w:r>
            <w:r w:rsidR="001A6FD4" w:rsidRPr="00645089">
              <w:rPr>
                <w:rFonts w:cs="TimesNewRoman"/>
              </w:rPr>
              <w:t>and analytical procedures, holding</w:t>
            </w:r>
            <w:r w:rsidR="007150B9" w:rsidRPr="00645089">
              <w:rPr>
                <w:rFonts w:cs="TimesNewRoman"/>
              </w:rPr>
              <w:t xml:space="preserve"> </w:t>
            </w:r>
            <w:r w:rsidR="001A6FD4" w:rsidRPr="00645089">
              <w:rPr>
                <w:rFonts w:cs="TimesNewRoman"/>
              </w:rPr>
              <w:t>times, stability issues, and QA</w:t>
            </w:r>
            <w:r w:rsidR="007150B9" w:rsidRPr="00645089">
              <w:rPr>
                <w:rFonts w:cs="TimesNewRoman"/>
              </w:rPr>
              <w:t xml:space="preserve"> </w:t>
            </w:r>
            <w:r w:rsidR="001A6FD4" w:rsidRPr="00645089">
              <w:rPr>
                <w:rFonts w:cs="TimesNewRoman"/>
              </w:rPr>
              <w:t>protocols</w:t>
            </w:r>
            <w:r w:rsidR="007150B9" w:rsidRPr="00645089">
              <w:rPr>
                <w:rFonts w:cs="TimesNewRoman"/>
              </w:rPr>
              <w:t>.(EPA)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Chain of Custody (COC)</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The documentation of the control and transfer of samples from the collection of a sample to analysis and then to disposal.</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Check Standard (Laboratory Control Sample)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816C8B" w:rsidRPr="00645089" w:rsidRDefault="00816C8B" w:rsidP="00F61214">
            <w:pPr>
              <w:rPr>
                <w:rFonts w:cs="Times New Roman"/>
              </w:rPr>
            </w:pPr>
            <w:r w:rsidRPr="00645089">
              <w:rPr>
                <w:rFonts w:cs="Times New Roman"/>
              </w:rPr>
              <w:t xml:space="preserve"> See Laboratory Control Standard,</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CLAM Sampler</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F61214">
            <w:pPr>
              <w:rPr>
                <w:rFonts w:cs="Times New Roman"/>
              </w:rPr>
            </w:pPr>
            <w:r w:rsidRPr="00645089">
              <w:rPr>
                <w:rFonts w:cs="Times New Roman"/>
              </w:rPr>
              <w:t>Continuous low level aquatic monitoring technology for detecting ultra-low levels of PCBs.</w:t>
            </w:r>
          </w:p>
        </w:tc>
      </w:tr>
      <w:tr w:rsidR="00D331DD" w:rsidRPr="00645089" w:rsidTr="00022F4F">
        <w:trPr>
          <w:trHeight w:val="828"/>
        </w:trPr>
        <w:tc>
          <w:tcPr>
            <w:tcW w:w="2243" w:type="dxa"/>
            <w:vAlign w:val="center"/>
          </w:tcPr>
          <w:p w:rsidR="00D331DD" w:rsidRPr="00645089" w:rsidRDefault="00D331DD" w:rsidP="00A33723">
            <w:pPr>
              <w:rPr>
                <w:rFonts w:cs="Times New Roman"/>
              </w:rPr>
            </w:pPr>
            <w:r w:rsidRPr="00645089">
              <w:t>Clean Water Act 303(d) list</w:t>
            </w:r>
          </w:p>
        </w:tc>
        <w:tc>
          <w:tcPr>
            <w:tcW w:w="290" w:type="dxa"/>
            <w:vAlign w:val="center"/>
          </w:tcPr>
          <w:p w:rsidR="00D331DD" w:rsidRPr="00645089" w:rsidRDefault="00D331DD" w:rsidP="00F633D0">
            <w:pPr>
              <w:jc w:val="center"/>
              <w:rPr>
                <w:rFonts w:cs="Times New Roman"/>
                <w:b/>
              </w:rPr>
            </w:pPr>
            <w:r w:rsidRPr="00645089">
              <w:rPr>
                <w:rFonts w:cs="Times New Roman"/>
                <w:b/>
              </w:rPr>
              <w:t>-</w:t>
            </w:r>
          </w:p>
        </w:tc>
        <w:tc>
          <w:tcPr>
            <w:tcW w:w="7115" w:type="dxa"/>
            <w:vAlign w:val="center"/>
          </w:tcPr>
          <w:p w:rsidR="00D331DD" w:rsidRPr="00645089" w:rsidRDefault="0060578F" w:rsidP="007150B9">
            <w:pPr>
              <w:autoSpaceDE w:val="0"/>
              <w:autoSpaceDN w:val="0"/>
              <w:adjustRightInd w:val="0"/>
              <w:rPr>
                <w:rFonts w:cs="TimesNewRoman"/>
              </w:rPr>
            </w:pPr>
            <w:r w:rsidRPr="00645089">
              <w:rPr>
                <w:rFonts w:cs="TimesNewRoman"/>
              </w:rPr>
              <w:t>The list of impaired rivers that each states, territories and tribes must delineate as part of the Clean Water Act of 1972. Listed water bodies do not meet water quality standards for one or more parameter.  Waters that have been listed are prioritized and TMDLs may be developed for these water bodies.</w:t>
            </w:r>
            <w:r w:rsidRPr="00645089">
              <w:rPr>
                <w:rStyle w:val="EndnoteReference"/>
                <w:rFonts w:cs="TimesNewRoman"/>
              </w:rPr>
              <w:endnoteReference w:id="1"/>
            </w:r>
            <w:r w:rsidRPr="00645089">
              <w:rPr>
                <w:rFonts w:cs="TimesNewRoman"/>
                <w:vertAlign w:val="superscript"/>
              </w:rPr>
              <w:t>,</w:t>
            </w:r>
            <w:r w:rsidRPr="00645089">
              <w:rPr>
                <w:rStyle w:val="EndnoteReference"/>
                <w:rFonts w:cs="TimesNewRoman"/>
              </w:rPr>
              <w:endnoteReference w:id="2"/>
            </w:r>
            <w:r w:rsidRPr="00645089">
              <w:rPr>
                <w:rFonts w:cs="TimesNewRoman"/>
              </w:rPr>
              <w:t xml:space="preserve"> </w:t>
            </w:r>
          </w:p>
        </w:tc>
      </w:tr>
      <w:tr w:rsidR="007150B9" w:rsidRPr="00645089" w:rsidTr="00022F4F">
        <w:trPr>
          <w:trHeight w:val="828"/>
        </w:trPr>
        <w:tc>
          <w:tcPr>
            <w:tcW w:w="2243" w:type="dxa"/>
            <w:vAlign w:val="center"/>
          </w:tcPr>
          <w:p w:rsidR="007150B9" w:rsidRPr="00645089" w:rsidRDefault="007150B9" w:rsidP="00A33723">
            <w:pPr>
              <w:rPr>
                <w:rFonts w:cs="Times New Roman"/>
              </w:rPr>
            </w:pPr>
            <w:r w:rsidRPr="00645089">
              <w:rPr>
                <w:rFonts w:cs="Times New Roman"/>
              </w:rPr>
              <w:t>Completeness</w:t>
            </w:r>
          </w:p>
        </w:tc>
        <w:tc>
          <w:tcPr>
            <w:tcW w:w="290" w:type="dxa"/>
            <w:vAlign w:val="center"/>
          </w:tcPr>
          <w:p w:rsidR="007150B9" w:rsidRPr="00645089" w:rsidRDefault="007150B9" w:rsidP="00F633D0">
            <w:pPr>
              <w:jc w:val="center"/>
              <w:rPr>
                <w:rFonts w:cs="Times New Roman"/>
                <w:b/>
              </w:rPr>
            </w:pPr>
          </w:p>
        </w:tc>
        <w:tc>
          <w:tcPr>
            <w:tcW w:w="7115" w:type="dxa"/>
            <w:vAlign w:val="center"/>
          </w:tcPr>
          <w:p w:rsidR="007150B9" w:rsidRPr="00645089" w:rsidRDefault="007150B9" w:rsidP="007150B9">
            <w:pPr>
              <w:autoSpaceDE w:val="0"/>
              <w:autoSpaceDN w:val="0"/>
              <w:adjustRightInd w:val="0"/>
              <w:rPr>
                <w:rFonts w:cs="Times New Roman"/>
              </w:rPr>
            </w:pPr>
            <w:r w:rsidRPr="00645089">
              <w:rPr>
                <w:rFonts w:cs="TimesNewRoman"/>
              </w:rPr>
              <w:t>A measure of the amount of valid data needed to be obtained from a</w:t>
            </w:r>
            <w:r w:rsidR="00645089">
              <w:rPr>
                <w:rFonts w:cs="TimesNewRoman"/>
              </w:rPr>
              <w:t xml:space="preserve"> m</w:t>
            </w:r>
            <w:r w:rsidR="00645089" w:rsidRPr="00645089">
              <w:rPr>
                <w:rFonts w:cs="TimesNewRoman"/>
              </w:rPr>
              <w:t>easurement</w:t>
            </w:r>
            <w:r w:rsidRPr="00645089">
              <w:rPr>
                <w:rFonts w:cs="TimesNewRoman"/>
              </w:rPr>
              <w:t xml:space="preserve"> system. Completeness is determined by comparing the number of valid measurements completed (samples collected or samples analyzed) with those established by the project’s quality criteria (Data Quality Objectives or performance/acceptance criteria). (EPA)</w:t>
            </w:r>
          </w:p>
        </w:tc>
      </w:tr>
      <w:tr w:rsidR="00F633D0" w:rsidRPr="00645089" w:rsidTr="00022F4F">
        <w:trPr>
          <w:trHeight w:val="828"/>
        </w:trPr>
        <w:tc>
          <w:tcPr>
            <w:tcW w:w="2243" w:type="dxa"/>
            <w:vAlign w:val="center"/>
          </w:tcPr>
          <w:p w:rsidR="00F633D0" w:rsidRPr="00645089" w:rsidRDefault="00F633D0" w:rsidP="00B041D8">
            <w:pPr>
              <w:rPr>
                <w:rFonts w:cs="Times New Roman"/>
              </w:rPr>
            </w:pPr>
            <w:r w:rsidRPr="00645089">
              <w:rPr>
                <w:rFonts w:cs="Times New Roman"/>
              </w:rPr>
              <w:t xml:space="preserve">Composite </w:t>
            </w:r>
            <w:r w:rsidR="00B041D8" w:rsidRPr="00645089">
              <w:rPr>
                <w:rFonts w:cs="Times New Roman"/>
              </w:rPr>
              <w:t xml:space="preserve">Sampling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B041D8" w:rsidRPr="00645089" w:rsidRDefault="00B041D8" w:rsidP="00F61214">
            <w:pPr>
              <w:rPr>
                <w:color w:val="000000"/>
              </w:rPr>
            </w:pPr>
            <w:r w:rsidRPr="00645089">
              <w:rPr>
                <w:color w:val="000000"/>
              </w:rPr>
              <w:t xml:space="preserve">Composite sampling is a technique whereby multiple temporally or spatially discrete, media or tissue samples are combined, thoroughly homogenized, and treated as a single sample. </w:t>
            </w:r>
          </w:p>
          <w:p w:rsidR="00B041D8" w:rsidRPr="00645089" w:rsidRDefault="00B041D8" w:rsidP="00F61214">
            <w:pPr>
              <w:rPr>
                <w:color w:val="000000"/>
              </w:rPr>
            </w:pPr>
          </w:p>
          <w:p w:rsidR="00B041D8" w:rsidRPr="00645089" w:rsidRDefault="00B041D8" w:rsidP="00B041D8">
            <w:pPr>
              <w:rPr>
                <w:rFonts w:eastAsia="Times New Roman" w:cs="Times New Roman"/>
                <w:color w:val="000000"/>
              </w:rPr>
            </w:pPr>
            <w:r w:rsidRPr="00645089">
              <w:rPr>
                <w:color w:val="000000"/>
              </w:rPr>
              <w:t xml:space="preserve">Although physical averaging can reduce the sensitivity of the analysis when taking a composite sample, the technique can 1) </w:t>
            </w:r>
            <w:r w:rsidRPr="00645089">
              <w:rPr>
                <w:rFonts w:eastAsia="Times New Roman" w:cs="Times New Roman"/>
                <w:color w:val="000000"/>
              </w:rPr>
              <w:t>improve spatial or temporal coverage of an area without increasing sample number, 2) provide more information about average contaminant concentration over space or time, and 3) increase the ability to detect hot spots by increasing the number of locations sampled, and 4) reduce sampling and analysis cost.</w:t>
            </w:r>
            <w:r w:rsidRPr="00645089">
              <w:rPr>
                <w:rStyle w:val="EndnoteReference"/>
                <w:rFonts w:eastAsia="Times New Roman" w:cs="Times New Roman"/>
                <w:color w:val="000000"/>
              </w:rPr>
              <w:endnoteReference w:id="3"/>
            </w:r>
          </w:p>
          <w:p w:rsidR="00F633D0" w:rsidRPr="00645089" w:rsidRDefault="00F633D0" w:rsidP="00F61214">
            <w:pPr>
              <w:rPr>
                <w:rFonts w:cs="Times New Roman"/>
              </w:rPr>
            </w:pPr>
          </w:p>
        </w:tc>
      </w:tr>
      <w:tr w:rsidR="00D331DD" w:rsidRPr="00645089" w:rsidTr="00022F4F">
        <w:trPr>
          <w:trHeight w:val="828"/>
        </w:trPr>
        <w:tc>
          <w:tcPr>
            <w:tcW w:w="2243" w:type="dxa"/>
            <w:vAlign w:val="center"/>
          </w:tcPr>
          <w:p w:rsidR="00D331DD" w:rsidRPr="00645089" w:rsidRDefault="00D331DD" w:rsidP="00A33723">
            <w:pPr>
              <w:rPr>
                <w:rFonts w:cs="Times New Roman"/>
              </w:rPr>
            </w:pPr>
            <w:r w:rsidRPr="00645089">
              <w:rPr>
                <w:rFonts w:cs="Times New Roman"/>
              </w:rPr>
              <w:t>Concentration</w:t>
            </w:r>
            <w:r w:rsidR="00F2396D" w:rsidRPr="00645089">
              <w:rPr>
                <w:rFonts w:cs="Times New Roman"/>
              </w:rPr>
              <w:t xml:space="preserve"> (PCBs)</w:t>
            </w:r>
            <w:r w:rsidRPr="00645089">
              <w:rPr>
                <w:rFonts w:cs="Times New Roman"/>
              </w:rPr>
              <w:t xml:space="preserve"> (see also Loading</w:t>
            </w:r>
            <w:r w:rsidR="00F2396D" w:rsidRPr="00645089">
              <w:rPr>
                <w:rFonts w:cs="Times New Roman"/>
              </w:rPr>
              <w:t xml:space="preserve"> (PCBs)</w:t>
            </w:r>
            <w:r w:rsidRPr="00645089">
              <w:rPr>
                <w:rFonts w:cs="Times New Roman"/>
              </w:rPr>
              <w:t>)</w:t>
            </w:r>
          </w:p>
        </w:tc>
        <w:tc>
          <w:tcPr>
            <w:tcW w:w="290" w:type="dxa"/>
            <w:vAlign w:val="center"/>
          </w:tcPr>
          <w:p w:rsidR="00D331DD" w:rsidRPr="00645089" w:rsidRDefault="00D331DD" w:rsidP="00F633D0">
            <w:pPr>
              <w:jc w:val="center"/>
              <w:rPr>
                <w:rFonts w:cs="Times New Roman"/>
                <w:b/>
              </w:rPr>
            </w:pPr>
            <w:r w:rsidRPr="00645089">
              <w:rPr>
                <w:rFonts w:cs="Times New Roman"/>
                <w:b/>
              </w:rPr>
              <w:t>-</w:t>
            </w:r>
          </w:p>
        </w:tc>
        <w:tc>
          <w:tcPr>
            <w:tcW w:w="7115" w:type="dxa"/>
            <w:vAlign w:val="center"/>
          </w:tcPr>
          <w:p w:rsidR="00D331DD" w:rsidRPr="00645089" w:rsidRDefault="00F2396D" w:rsidP="00B041D8">
            <w:pPr>
              <w:rPr>
                <w:rFonts w:cs="Times New Roman"/>
              </w:rPr>
            </w:pPr>
            <w:r w:rsidRPr="00645089">
              <w:rPr>
                <w:rFonts w:cs="Times New Roman"/>
              </w:rPr>
              <w:t>The amount of PCB in a fixed volume of water.</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Confidence Interval Testing</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B041D8">
            <w:pPr>
              <w:rPr>
                <w:rFonts w:cs="Times New Roman"/>
              </w:rPr>
            </w:pPr>
            <w:r w:rsidRPr="00645089">
              <w:rPr>
                <w:rFonts w:cs="Times New Roman"/>
              </w:rPr>
              <w:t xml:space="preserve">Sampling to confirm the appropriate sample size and frequency to be used for </w:t>
            </w:r>
            <w:r w:rsidR="00B041D8" w:rsidRPr="00645089">
              <w:rPr>
                <w:rFonts w:cs="Times New Roman"/>
              </w:rPr>
              <w:t>future</w:t>
            </w:r>
            <w:r w:rsidRPr="00645089">
              <w:rPr>
                <w:rFonts w:cs="Times New Roman"/>
              </w:rPr>
              <w:t xml:space="preserve"> sampling events. D</w:t>
            </w:r>
            <w:r w:rsidRPr="00645089">
              <w:t>esigned to generate information on the temporal variability and measurement uncertainty of PCB concentrations</w:t>
            </w:r>
            <w:r w:rsidR="00B51904" w:rsidRPr="00645089">
              <w:t xml:space="preserve"> in the Spokane River.</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lastRenderedPageBreak/>
              <w:t>Confidence Limits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F61214">
            <w:pPr>
              <w:rPr>
                <w:rFonts w:cs="Times New Roman"/>
              </w:rPr>
            </w:pPr>
            <w:r w:rsidRPr="00645089">
              <w:rPr>
                <w:rFonts w:cs="Times New Roman"/>
              </w:rPr>
              <w:t>The upper and lower limits of a confidence interval.</w:t>
            </w:r>
          </w:p>
        </w:tc>
      </w:tr>
      <w:tr w:rsidR="00F633D0" w:rsidRPr="00645089" w:rsidTr="00022F4F">
        <w:trPr>
          <w:trHeight w:val="828"/>
        </w:trPr>
        <w:tc>
          <w:tcPr>
            <w:tcW w:w="2243" w:type="dxa"/>
            <w:vAlign w:val="center"/>
          </w:tcPr>
          <w:p w:rsidR="00F633D0" w:rsidRPr="00645089" w:rsidRDefault="00F633D0" w:rsidP="0081764B">
            <w:pPr>
              <w:rPr>
                <w:rFonts w:cs="Times New Roman"/>
              </w:rPr>
            </w:pPr>
            <w:r w:rsidRPr="00645089">
              <w:rPr>
                <w:rFonts w:cs="Times New Roman"/>
              </w:rPr>
              <w:t xml:space="preserve">Confounding Effects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B51904" w:rsidP="00B51904">
            <w:pPr>
              <w:rPr>
                <w:rFonts w:cs="Times New Roman"/>
              </w:rPr>
            </w:pPr>
            <w:r w:rsidRPr="00645089">
              <w:t>Factors that are alternate explanations for an observed result. For example, b</w:t>
            </w:r>
            <w:r w:rsidR="00F633D0" w:rsidRPr="00645089">
              <w:rPr>
                <w:rFonts w:cs="Times New Roman"/>
              </w:rPr>
              <w:t xml:space="preserve">ias in sampling and analysis that can be introduced by specific sampling location factors. </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Data Quality Objectives Process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EF5F8B" w:rsidRPr="00645089" w:rsidRDefault="00F633D0" w:rsidP="00645089">
            <w:pPr>
              <w:rPr>
                <w:rFonts w:cs="Times New Roman"/>
              </w:rPr>
            </w:pPr>
            <w:r w:rsidRPr="00645089">
              <w:rPr>
                <w:rFonts w:cs="Times New Roman"/>
              </w:rPr>
              <w:t xml:space="preserve">A systematic planning process </w:t>
            </w:r>
            <w:r w:rsidR="00EF5F8B" w:rsidRPr="00645089">
              <w:rPr>
                <w:rFonts w:cs="Times New Roman"/>
              </w:rPr>
              <w:t>that establishes criteria for data quality</w:t>
            </w:r>
            <w:r w:rsidR="00645089">
              <w:rPr>
                <w:rFonts w:cs="Times New Roman"/>
              </w:rPr>
              <w:t xml:space="preserve"> </w:t>
            </w:r>
            <w:r w:rsidR="00EF5F8B" w:rsidRPr="00645089">
              <w:rPr>
                <w:rFonts w:cs="Times New Roman"/>
              </w:rPr>
              <w:t xml:space="preserve">and then designs the data collection activities to achieve </w:t>
            </w:r>
            <w:r w:rsidR="00645089" w:rsidRPr="00645089">
              <w:rPr>
                <w:rFonts w:cs="Times New Roman"/>
              </w:rPr>
              <w:t>those criteria</w:t>
            </w:r>
            <w:r w:rsidR="00EF5F8B" w:rsidRPr="00645089">
              <w:rPr>
                <w:rFonts w:cs="Times New Roman"/>
              </w:rPr>
              <w:t>. The DQO Process improves the effectiveness, efficiency, and defensibility of data.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Data Validation</w:t>
            </w:r>
            <w:r w:rsidR="00B2520F" w:rsidRPr="00645089">
              <w:rPr>
                <w:rFonts w:cs="Times New Roman"/>
              </w:rPr>
              <w:t>/Verification</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EF5F8B">
            <w:pPr>
              <w:rPr>
                <w:rFonts w:cs="Times New Roman"/>
              </w:rPr>
            </w:pPr>
            <w:r w:rsidRPr="00645089">
              <w:rPr>
                <w:rFonts w:cs="Times New Roman"/>
              </w:rPr>
              <w:t xml:space="preserve">An analyte specific process that </w:t>
            </w:r>
            <w:r w:rsidR="00B2520F" w:rsidRPr="00645089">
              <w:rPr>
                <w:rFonts w:cs="Times New Roman"/>
              </w:rPr>
              <w:t>validates the laboratory data against the MQOs for precision, bias, and sensitivity</w:t>
            </w:r>
            <w:r w:rsidRPr="00645089">
              <w:rPr>
                <w:rFonts w:cs="Times New Roman"/>
              </w:rPr>
              <w:t xml:space="preserve"> </w:t>
            </w:r>
            <w:r w:rsidR="00B2520F" w:rsidRPr="00645089">
              <w:rPr>
                <w:rFonts w:cs="Times New Roman"/>
              </w:rPr>
              <w:t xml:space="preserve">to verify measure performance. Examination of the data includes errors or omissions and the QC results for compliance with acceptance </w:t>
            </w:r>
            <w:r w:rsidR="00645089" w:rsidRPr="00645089">
              <w:rPr>
                <w:rFonts w:cs="Times New Roman"/>
              </w:rPr>
              <w:t>criteria. It</w:t>
            </w:r>
            <w:r w:rsidRPr="00645089">
              <w:rPr>
                <w:rFonts w:cs="Times New Roman"/>
              </w:rPr>
              <w:t xml:space="preserve"> involves a detailed examination of the data package </w:t>
            </w:r>
            <w:r w:rsidR="00B2520F" w:rsidRPr="00645089">
              <w:rPr>
                <w:rFonts w:cs="Times New Roman"/>
              </w:rPr>
              <w:t>to verify that appropriate measurements procedures and reporting criteria are met. (EPA)</w:t>
            </w:r>
          </w:p>
          <w:p w:rsidR="00B2520F" w:rsidRPr="00645089" w:rsidRDefault="00B2520F" w:rsidP="00EF5F8B">
            <w:pPr>
              <w:rPr>
                <w:rFonts w:cs="Times New Roman"/>
              </w:rPr>
            </w:pPr>
          </w:p>
          <w:p w:rsidR="00B2520F" w:rsidRPr="00645089" w:rsidRDefault="00B2520F" w:rsidP="00B2520F">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Detection Limit</w:t>
            </w:r>
          </w:p>
        </w:tc>
        <w:tc>
          <w:tcPr>
            <w:tcW w:w="290" w:type="dxa"/>
            <w:vAlign w:val="center"/>
          </w:tcPr>
          <w:p w:rsidR="00F2396D" w:rsidRPr="00645089" w:rsidRDefault="00326D21" w:rsidP="00F633D0">
            <w:pPr>
              <w:jc w:val="center"/>
              <w:rPr>
                <w:rFonts w:cs="Times New Roman"/>
                <w:b/>
              </w:rPr>
            </w:pPr>
            <w:r w:rsidRPr="00645089">
              <w:rPr>
                <w:rFonts w:cs="Times New Roman"/>
                <w:b/>
              </w:rPr>
              <w:t>-</w:t>
            </w:r>
          </w:p>
        </w:tc>
        <w:tc>
          <w:tcPr>
            <w:tcW w:w="7115" w:type="dxa"/>
            <w:vAlign w:val="center"/>
          </w:tcPr>
          <w:p w:rsidR="00F2396D" w:rsidRPr="00645089" w:rsidRDefault="00F2396D" w:rsidP="00F2396D">
            <w:pPr>
              <w:rPr>
                <w:rFonts w:cs="Times New Roman"/>
              </w:rPr>
            </w:pPr>
            <w:r w:rsidRPr="00645089">
              <w:t>The minimum concentration of an analyte that can be identified, measured, and reported with 99% confidence that the analyte concentration is greater than zero. This is a statistical determination of precision and accurate quantification is not expected at this level.</w:t>
            </w:r>
            <w:r w:rsidRPr="00645089">
              <w:rPr>
                <w:rStyle w:val="EndnoteReference"/>
              </w:rPr>
              <w:endnoteReference w:id="4"/>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Dioxin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2520F">
            <w:pPr>
              <w:rPr>
                <w:rFonts w:cs="Times New Roman"/>
              </w:rPr>
            </w:pPr>
            <w:r w:rsidRPr="00645089">
              <w:rPr>
                <w:rFonts w:cs="Times New Roman"/>
              </w:rPr>
              <w:t>A common name that typically refers to group of toxic chemical compounds that have similar structure and that are widely dispersed and bioaccumulate in organisms.  Of particular concern are chlorinated dioxins and dioxin-like compounds that are regulated as carcinogens (cancer causing) by the environmental protection agency.</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 xml:space="preserve">Dip Sampler </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2520F">
            <w:pPr>
              <w:rPr>
                <w:rFonts w:cs="Times New Roman"/>
              </w:rPr>
            </w:pPr>
            <w:r w:rsidRPr="00645089">
              <w:t>A sampling device, typically with a long handle</w:t>
            </w:r>
            <w:r w:rsidR="00645089" w:rsidRPr="00645089">
              <w:t>, that</w:t>
            </w:r>
            <w:r w:rsidRPr="00645089">
              <w:t xml:space="preserve"> is used when direct immersion is not an option, particularly in cases where access to the sampling location is difficult.</w:t>
            </w:r>
            <w:r w:rsidRPr="00645089">
              <w:rPr>
                <w:rStyle w:val="EndnoteReference"/>
              </w:rPr>
              <w:endnoteReference w:id="5"/>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 xml:space="preserve">Direct Immersion </w:t>
            </w:r>
          </w:p>
        </w:tc>
        <w:tc>
          <w:tcPr>
            <w:tcW w:w="290" w:type="dxa"/>
            <w:vAlign w:val="center"/>
          </w:tcPr>
          <w:p w:rsidR="00F2396D" w:rsidRPr="00645089" w:rsidRDefault="00F2396D" w:rsidP="00F633D0">
            <w:pPr>
              <w:jc w:val="center"/>
              <w:rPr>
                <w:b/>
              </w:rPr>
            </w:pPr>
            <w:r w:rsidRPr="00645089">
              <w:rPr>
                <w:rFonts w:cs="Times New Roman"/>
                <w:b/>
              </w:rPr>
              <w:t>-</w:t>
            </w:r>
          </w:p>
        </w:tc>
        <w:tc>
          <w:tcPr>
            <w:tcW w:w="7115" w:type="dxa"/>
            <w:vAlign w:val="center"/>
          </w:tcPr>
          <w:p w:rsidR="00F2396D" w:rsidRPr="00645089" w:rsidRDefault="00F2396D" w:rsidP="00C80847">
            <w:pPr>
              <w:rPr>
                <w:rFonts w:cs="Times New Roman"/>
              </w:rPr>
            </w:pPr>
            <w:r w:rsidRPr="00645089">
              <w:rPr>
                <w:rFonts w:cs="Times New Roman"/>
              </w:rPr>
              <w:t xml:space="preserve">A sampling method </w:t>
            </w:r>
            <w:r w:rsidRPr="00645089">
              <w:t>in which water samples are collected by immersing the sampling container below the water surface so the sample goes directly into the sample bottle.</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Discrete Analysis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645089" w:rsidP="006D28F9">
            <w:pPr>
              <w:rPr>
                <w:rFonts w:cs="Times New Roman"/>
              </w:rPr>
            </w:pPr>
            <w:r w:rsidRPr="00645089">
              <w:t>The</w:t>
            </w:r>
            <w:r w:rsidR="00F2396D" w:rsidRPr="00645089">
              <w:t xml:space="preserve"> analysis of a single sample . . . location is not relevant. “Discrete” refers to how the sample goes through the analyzer</w:t>
            </w:r>
            <w:r w:rsidR="00F2396D" w:rsidRPr="00645089" w:rsidDel="003F518D">
              <w:rPr>
                <w:rFonts w:cs="Times New Roman"/>
              </w:rPr>
              <w:t xml:space="preserve">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Dissolved Organic Carbon (DOC)</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645089" w:rsidP="00645089">
            <w:pPr>
              <w:rPr>
                <w:rFonts w:cs="Times New Roman"/>
              </w:rPr>
            </w:pPr>
            <w:r>
              <w:rPr>
                <w:rFonts w:cs="Times New Roman"/>
              </w:rPr>
              <w:t>O</w:t>
            </w:r>
            <w:r w:rsidR="00F2396D" w:rsidRPr="00645089">
              <w:rPr>
                <w:rFonts w:cs="Times New Roman"/>
              </w:rPr>
              <w:t xml:space="preserve">rganic compounds </w:t>
            </w:r>
            <w:r>
              <w:rPr>
                <w:rFonts w:cs="Times New Roman"/>
              </w:rPr>
              <w:t>located in</w:t>
            </w:r>
            <w:r w:rsidRPr="00645089">
              <w:rPr>
                <w:rFonts w:cs="Times New Roman"/>
              </w:rPr>
              <w:t xml:space="preserve"> </w:t>
            </w:r>
            <w:r w:rsidR="00F2396D" w:rsidRPr="00645089">
              <w:rPr>
                <w:rFonts w:cs="Times New Roman"/>
              </w:rPr>
              <w:t>aquatic systems.</w:t>
            </w:r>
            <w:r>
              <w:rPr>
                <w:rFonts w:cs="Times New Roman"/>
              </w:rPr>
              <w:t xml:space="preserve"> </w:t>
            </w:r>
            <w:r w:rsidR="00F2396D" w:rsidRPr="00645089">
              <w:rPr>
                <w:rFonts w:cs="Times New Roman"/>
              </w:rPr>
              <w:t xml:space="preserve">DOC is defined as dissolved organic compounds capable of passing though a 0.45 micron filter.  (40 CFR 141). DOC is an important food source for microorganisms and a measure of water quality.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Dissolved Oxygen (DO)</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90E8B">
            <w:pPr>
              <w:autoSpaceDE w:val="0"/>
              <w:autoSpaceDN w:val="0"/>
              <w:adjustRightInd w:val="0"/>
              <w:rPr>
                <w:rFonts w:cs="Times New Roman"/>
              </w:rPr>
            </w:pPr>
            <w:r w:rsidRPr="00645089">
              <w:rPr>
                <w:rFonts w:cs="Times New Roman"/>
              </w:rPr>
              <w:t>Oxygen that is available for biological use in aquatic systems. DO is an important water quality measure that is typically collected in conjunction with other water quality parameters.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Duplicate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63E3">
            <w:pPr>
              <w:rPr>
                <w:rFonts w:cs="Times New Roman"/>
              </w:rPr>
            </w:pPr>
            <w:r w:rsidRPr="00645089">
              <w:rPr>
                <w:rFonts w:cs="Times New Roman"/>
              </w:rPr>
              <w:t>Two samples collected or measurements made at the same time and location, or two portions of the same sample prepared and analyzed in the same batch.</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lastRenderedPageBreak/>
              <w:t>Estimated Detection Limit (EDL)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2B2D9B">
            <w:pPr>
              <w:rPr>
                <w:rFonts w:cs="Times New Roman"/>
              </w:rPr>
            </w:pPr>
            <w:r w:rsidRPr="00645089">
              <w:rPr>
                <w:rFonts w:cs="Times New Roman"/>
              </w:rPr>
              <w:t xml:space="preserve">Lowest concentration or amount of an analyte which, on an "a priori" basis, can be determined to a specified level of certainty to be greater than zero. Based on a signal to noise ratio. (See Detection Limit). </w:t>
            </w:r>
          </w:p>
        </w:tc>
      </w:tr>
      <w:tr w:rsidR="00F2396D" w:rsidRPr="00645089" w:rsidTr="00022F4F">
        <w:trPr>
          <w:trHeight w:val="828"/>
        </w:trPr>
        <w:tc>
          <w:tcPr>
            <w:tcW w:w="2243" w:type="dxa"/>
            <w:vAlign w:val="center"/>
          </w:tcPr>
          <w:p w:rsidR="00F2396D" w:rsidRPr="00645089" w:rsidRDefault="00F2396D" w:rsidP="00BD3555">
            <w:pPr>
              <w:rPr>
                <w:rFonts w:cs="Times New Roman"/>
              </w:rPr>
            </w:pPr>
            <w:r w:rsidRPr="00645089">
              <w:rPr>
                <w:rFonts w:cs="Times New Roman"/>
              </w:rPr>
              <w:t>Estimated Quantification Limit (EQL)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t>The smallest detectable concentration of analyte greater than the detection limit where the required accuracy (precision and bias) is achieved for the intended purpose.</w:t>
            </w:r>
            <w:r w:rsidRPr="00645089">
              <w:rPr>
                <w:rStyle w:val="EndnoteReference"/>
              </w:rPr>
              <w:endnoteReference w:id="6"/>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Equipment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951E8">
            <w:pPr>
              <w:pStyle w:val="Default"/>
              <w:rPr>
                <w:rFonts w:asciiTheme="minorHAnsi" w:hAnsiTheme="minorHAnsi"/>
                <w:sz w:val="22"/>
                <w:szCs w:val="22"/>
              </w:rPr>
            </w:pPr>
          </w:p>
          <w:p w:rsidR="00F2396D" w:rsidRPr="00645089" w:rsidRDefault="00F2396D" w:rsidP="003951E8">
            <w:pPr>
              <w:pStyle w:val="Default"/>
              <w:rPr>
                <w:rFonts w:asciiTheme="minorHAnsi" w:hAnsiTheme="minorHAnsi"/>
                <w:sz w:val="22"/>
                <w:szCs w:val="22"/>
              </w:rPr>
            </w:pPr>
            <w:r w:rsidRPr="00645089">
              <w:rPr>
                <w:rFonts w:asciiTheme="minorHAnsi" w:hAnsiTheme="minorHAnsi"/>
                <w:sz w:val="22"/>
                <w:szCs w:val="22"/>
              </w:rPr>
              <w:t>A sample of analyte-free media which has been used to rinse common sampling equipment to check effectiveness of decontamination procedures.</w:t>
            </w:r>
            <w:r w:rsidRPr="00645089">
              <w:rPr>
                <w:rStyle w:val="EndnoteReference"/>
                <w:rFonts w:asciiTheme="minorHAnsi" w:hAnsiTheme="minorHAnsi"/>
                <w:sz w:val="22"/>
                <w:szCs w:val="22"/>
              </w:rPr>
              <w:endnoteReference w:id="7"/>
            </w:r>
          </w:p>
          <w:p w:rsidR="00F2396D" w:rsidRPr="00645089" w:rsidRDefault="00F2396D" w:rsidP="003951E8">
            <w:pPr>
              <w:rPr>
                <w:rFonts w:cs="Times New Roman"/>
              </w:rPr>
            </w:pP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Fate and Transport Model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Model that estimates the movement and alteration of contaminants as they move through biota, air, surface water, soil, sediments, and groundwater.</w:t>
            </w:r>
          </w:p>
          <w:p w:rsidR="00F2396D" w:rsidRPr="00645089" w:rsidRDefault="00F2396D" w:rsidP="00697362">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Field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t>A blank used to obtain information on contamination introduced during sample collection, storage and transport. The field blank is typically prepared by filling a clean container with pure de-ionized water and appropriate preservative, if any, for the specific sampling activity being undertaken.  (EPA)</w:t>
            </w:r>
          </w:p>
        </w:tc>
      </w:tr>
      <w:tr w:rsidR="00F2396D" w:rsidRPr="00645089" w:rsidTr="00022F4F">
        <w:trPr>
          <w:trHeight w:val="828"/>
        </w:trPr>
        <w:tc>
          <w:tcPr>
            <w:tcW w:w="2243" w:type="dxa"/>
            <w:vAlign w:val="center"/>
          </w:tcPr>
          <w:p w:rsidR="00F2396D" w:rsidRPr="00645089" w:rsidRDefault="00F2396D" w:rsidP="00C022D7">
            <w:pPr>
              <w:rPr>
                <w:rFonts w:cs="Times New Roman"/>
              </w:rPr>
            </w:pPr>
            <w:r w:rsidRPr="00645089">
              <w:rPr>
                <w:rFonts w:cs="Times New Roman"/>
              </w:rPr>
              <w:t>Gaining Reach</w:t>
            </w:r>
          </w:p>
        </w:tc>
        <w:tc>
          <w:tcPr>
            <w:tcW w:w="290" w:type="dxa"/>
            <w:vAlign w:val="center"/>
          </w:tcPr>
          <w:p w:rsidR="00F2396D" w:rsidRPr="00645089" w:rsidRDefault="00645089" w:rsidP="00F633D0">
            <w:pPr>
              <w:jc w:val="center"/>
              <w:rPr>
                <w:rFonts w:cs="Times New Roman"/>
                <w:b/>
              </w:rPr>
            </w:pPr>
            <w:r w:rsidRPr="00645089">
              <w:rPr>
                <w:rFonts w:cs="Times New Roman"/>
                <w:b/>
              </w:rPr>
              <w:t>-</w:t>
            </w:r>
          </w:p>
        </w:tc>
        <w:tc>
          <w:tcPr>
            <w:tcW w:w="7115" w:type="dxa"/>
            <w:vAlign w:val="center"/>
          </w:tcPr>
          <w:p w:rsidR="00F2396D" w:rsidRPr="00645089" w:rsidRDefault="00F2396D" w:rsidP="00950893">
            <w:pPr>
              <w:pStyle w:val="Default"/>
              <w:rPr>
                <w:rFonts w:asciiTheme="minorHAnsi" w:hAnsiTheme="minorHAnsi"/>
                <w:sz w:val="22"/>
                <w:szCs w:val="22"/>
              </w:rPr>
            </w:pPr>
            <w:r w:rsidRPr="00645089">
              <w:rPr>
                <w:rFonts w:asciiTheme="minorHAnsi" w:hAnsiTheme="minorHAnsi"/>
                <w:sz w:val="22"/>
                <w:szCs w:val="22"/>
              </w:rPr>
              <w:t xml:space="preserve">A reach of the river where water flow is increasing because the aquifer is flowing into the river.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Gauging Station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 xml:space="preserve">United Stated Geological Survey (USGS) operated in-steam measurement location that collects data on stream flow conditions typically every 15 to 60 minutes.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Grab Sample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A sample collected at a specific place and specific time. </w:t>
            </w:r>
          </w:p>
        </w:tc>
      </w:tr>
      <w:tr w:rsidR="00F2396D" w:rsidRPr="00645089" w:rsidTr="00022F4F">
        <w:trPr>
          <w:trHeight w:val="828"/>
        </w:trPr>
        <w:tc>
          <w:tcPr>
            <w:tcW w:w="2243" w:type="dxa"/>
            <w:vAlign w:val="center"/>
          </w:tcPr>
          <w:p w:rsidR="00F2396D" w:rsidRPr="00645089" w:rsidRDefault="00F2396D" w:rsidP="00381288">
            <w:pPr>
              <w:rPr>
                <w:rFonts w:cs="Times New Roman"/>
              </w:rPr>
            </w:pPr>
            <w:r w:rsidRPr="00645089">
              <w:rPr>
                <w:rFonts w:cs="Times New Roman"/>
              </w:rPr>
              <w:t xml:space="preserve">Groundwater Contribution </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PCBs in groundwater that contribute to the loading in the river in the gaining reaches. </w:t>
            </w:r>
          </w:p>
        </w:tc>
      </w:tr>
      <w:tr w:rsidR="00F2396D" w:rsidRPr="00645089" w:rsidTr="00022F4F">
        <w:trPr>
          <w:trHeight w:val="828"/>
        </w:trPr>
        <w:tc>
          <w:tcPr>
            <w:tcW w:w="2243" w:type="dxa"/>
            <w:vAlign w:val="center"/>
          </w:tcPr>
          <w:p w:rsidR="00F2396D" w:rsidRPr="00645089" w:rsidRDefault="00F2396D" w:rsidP="0070717B">
            <w:pPr>
              <w:rPr>
                <w:rFonts w:cs="Times New Roman"/>
              </w:rPr>
            </w:pPr>
            <w:r w:rsidRPr="00645089">
              <w:rPr>
                <w:rFonts w:cs="Times New Roman"/>
              </w:rPr>
              <w:t>Headwaters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Upgradient streams that are the origins of the larger, downstream waterbodies. Headwaters typically have no upstream tributaries and are the furthest point upstream of a river outlet.</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Health and Safety Plan (HASP)</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 xml:space="preserve">A plan that outlines policies and procedures used to ensure the health and safety of </w:t>
            </w:r>
            <w:r w:rsidR="00645089" w:rsidRPr="00645089">
              <w:rPr>
                <w:rFonts w:cs="Times New Roman"/>
              </w:rPr>
              <w:t>employees administering</w:t>
            </w:r>
            <w:r w:rsidRPr="00645089">
              <w:rPr>
                <w:rFonts w:cs="Times New Roman"/>
              </w:rPr>
              <w:t xml:space="preserve"> sample collection in the field.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High Volume Sampling (HVS)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 xml:space="preserve">A sampling technique that concentrates pollutants from a high volume of water in order to detect and quantify instream.   </w:t>
            </w:r>
            <w:r w:rsidR="00645089" w:rsidRPr="00645089">
              <w:rPr>
                <w:rFonts w:cs="Times New Roman"/>
              </w:rPr>
              <w:t>Pollutants</w:t>
            </w:r>
            <w:r w:rsidRPr="00645089">
              <w:rPr>
                <w:rFonts w:cs="Times New Roman"/>
              </w:rPr>
              <w:t xml:space="preserve"> that are present in low concentrations. HVS is used in analysis and quantification of ultra low </w:t>
            </w:r>
            <w:r w:rsidR="00645089" w:rsidRPr="00645089">
              <w:rPr>
                <w:rFonts w:cs="Times New Roman"/>
              </w:rPr>
              <w:t>concentrations of</w:t>
            </w:r>
            <w:r w:rsidRPr="00645089">
              <w:rPr>
                <w:rFonts w:cs="Times New Roman"/>
              </w:rPr>
              <w:t xml:space="preserve"> PCBs and Dioxin.</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Human health water quality criteria (HHWQC)</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E951AD">
            <w:pPr>
              <w:rPr>
                <w:rFonts w:cs="Times New Roman"/>
              </w:rPr>
            </w:pPr>
            <w:r w:rsidRPr="00645089">
              <w:rPr>
                <w:rFonts w:cs="Times New Roman"/>
              </w:rPr>
              <w:t>Criteria developed by the Environmental Protection Agency (EPA) that delineates the amount of a chemical that can be contained in a water body before it is a risk to human health.</w:t>
            </w:r>
            <w:r w:rsidRPr="00645089">
              <w:rPr>
                <w:rStyle w:val="EndnoteReference"/>
                <w:rFonts w:cs="Times New Roman"/>
              </w:rPr>
              <w:endnoteReference w:id="8"/>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Hydraulic Residence Time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The amount of time a compound remains in an aquatic system. </w:t>
            </w:r>
          </w:p>
        </w:tc>
      </w:tr>
      <w:tr w:rsidR="00C575F4" w:rsidRPr="00645089" w:rsidTr="00022F4F">
        <w:trPr>
          <w:trHeight w:val="828"/>
        </w:trPr>
        <w:tc>
          <w:tcPr>
            <w:tcW w:w="2243" w:type="dxa"/>
            <w:vAlign w:val="center"/>
          </w:tcPr>
          <w:p w:rsidR="00C575F4" w:rsidRPr="00645089" w:rsidRDefault="00C575F4" w:rsidP="00A33723">
            <w:pPr>
              <w:rPr>
                <w:rFonts w:cs="Times New Roman"/>
              </w:rPr>
            </w:pPr>
            <w:r>
              <w:rPr>
                <w:rFonts w:cs="Times New Roman"/>
              </w:rPr>
              <w:lastRenderedPageBreak/>
              <w:t>Inadvertently generated PCBS</w:t>
            </w:r>
          </w:p>
        </w:tc>
        <w:tc>
          <w:tcPr>
            <w:tcW w:w="290" w:type="dxa"/>
            <w:vAlign w:val="center"/>
          </w:tcPr>
          <w:p w:rsidR="00C575F4" w:rsidRPr="00645089" w:rsidRDefault="00C575F4" w:rsidP="00F633D0">
            <w:pPr>
              <w:jc w:val="center"/>
              <w:rPr>
                <w:rFonts w:cs="Times New Roman"/>
                <w:b/>
              </w:rPr>
            </w:pPr>
            <w:r>
              <w:rPr>
                <w:rFonts w:cs="Times New Roman"/>
                <w:b/>
              </w:rPr>
              <w:t>-</w:t>
            </w:r>
          </w:p>
        </w:tc>
        <w:tc>
          <w:tcPr>
            <w:tcW w:w="7115" w:type="dxa"/>
            <w:vAlign w:val="center"/>
          </w:tcPr>
          <w:p w:rsidR="00C575F4" w:rsidRPr="00645089" w:rsidRDefault="00C575F4" w:rsidP="00F61214">
            <w:pPr>
              <w:rPr>
                <w:rFonts w:cs="Times New Roman"/>
              </w:rPr>
            </w:pPr>
            <w:r>
              <w:rPr>
                <w:rFonts w:cs="Times New Roman"/>
              </w:rPr>
              <w:t xml:space="preserve">Chemical processes that under heat, chlorinate hydrocarbons unintentionally creating PCBS. TSCA allows a range of inadvertent production </w:t>
            </w:r>
            <w:r w:rsidR="00DD2CA0">
              <w:rPr>
                <w:rFonts w:cs="Times New Roman"/>
              </w:rPr>
              <w:t>no greater than 25 parts per million for imported products.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In-Situ Measurements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Local or on-site measurements.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Invasive Species Plan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A plan that outlines the policies and procedures to follow to prevent </w:t>
            </w:r>
            <w:r w:rsidRPr="00645089">
              <w:t>the spread of non-native noxious weeds, pathogens and exotic flora and fauna among water bodies.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J-Flagged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45E96">
            <w:pPr>
              <w:autoSpaceDE w:val="0"/>
              <w:autoSpaceDN w:val="0"/>
              <w:adjustRightInd w:val="0"/>
              <w:rPr>
                <w:rFonts w:cs="Times New Roman"/>
              </w:rPr>
            </w:pPr>
            <w:r w:rsidRPr="00645089">
              <w:rPr>
                <w:rFonts w:cs="Times New Roman"/>
              </w:rPr>
              <w:t>The analyte was positively identified-the associated numerical value is the approximate concentration of the analyte in the sample. The “J” qualifier indicates that one or more QA/QC requirements have not met contact required</w:t>
            </w:r>
          </w:p>
          <w:p w:rsidR="00F2396D" w:rsidRPr="00645089" w:rsidRDefault="00645089" w:rsidP="00645089">
            <w:pPr>
              <w:autoSpaceDE w:val="0"/>
              <w:autoSpaceDN w:val="0"/>
              <w:adjustRightInd w:val="0"/>
              <w:rPr>
                <w:rFonts w:cs="Times New Roman"/>
              </w:rPr>
            </w:pPr>
            <w:r w:rsidRPr="00645089">
              <w:rPr>
                <w:rFonts w:cs="Times New Roman"/>
              </w:rPr>
              <w:t>Acceptance</w:t>
            </w:r>
            <w:r w:rsidR="00F2396D" w:rsidRPr="00645089">
              <w:rPr>
                <w:rFonts w:cs="Times New Roman"/>
              </w:rPr>
              <w:t xml:space="preserve"> criteria but the instrumentation was functioning properly during the analysis. For example, a “J” qualifier may indicate that the sample was difficult to analyze or that the value may lay near the low end of the linear range of the</w:t>
            </w:r>
            <w:r>
              <w:rPr>
                <w:rFonts w:cs="Times New Roman"/>
              </w:rPr>
              <w:t xml:space="preserve"> </w:t>
            </w:r>
            <w:r w:rsidR="00F2396D" w:rsidRPr="00645089">
              <w:rPr>
                <w:rFonts w:cs="Times New Roman"/>
              </w:rPr>
              <w:t>instrument. “J” data are considered biased, but provide definitive analyte identification</w:t>
            </w:r>
            <w:r w:rsidR="00F2396D" w:rsidRPr="00645089">
              <w:rPr>
                <w:rStyle w:val="EndnoteReference"/>
                <w:rFonts w:cs="Times New Roman"/>
              </w:rPr>
              <w:endnoteReference w:id="9"/>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Laboratory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cs="Times New Roman"/>
              </w:rPr>
            </w:pPr>
            <w:r w:rsidRPr="00645089">
              <w:rPr>
                <w:rFonts w:cs="Times New Roman"/>
              </w:rPr>
              <w:t xml:space="preserve">See method blank. </w:t>
            </w:r>
          </w:p>
        </w:tc>
      </w:tr>
      <w:tr w:rsidR="00F2396D" w:rsidRPr="00645089" w:rsidTr="00022F4F">
        <w:trPr>
          <w:trHeight w:val="828"/>
        </w:trPr>
        <w:tc>
          <w:tcPr>
            <w:tcW w:w="2243" w:type="dxa"/>
            <w:vAlign w:val="center"/>
          </w:tcPr>
          <w:p w:rsidR="00F2396D" w:rsidRPr="00645089" w:rsidRDefault="00F2396D" w:rsidP="00B25CA5">
            <w:pPr>
              <w:rPr>
                <w:rFonts w:cs="Times New Roman"/>
              </w:rPr>
            </w:pPr>
            <w:r w:rsidRPr="00645089">
              <w:rPr>
                <w:rFonts w:cs="Times New Roman"/>
              </w:rPr>
              <w:t>Laboratory Control Standard (LCS)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51904">
            <w:pPr>
              <w:rPr>
                <w:color w:val="000000"/>
              </w:rPr>
            </w:pPr>
            <w:r w:rsidRPr="00645089">
              <w:rPr>
                <w:color w:val="000000"/>
              </w:rPr>
              <w:t>A prepared sample that is used to demonstrate that the laboratory can perform the overall analytical approach in a matrix free of interferences (</w:t>
            </w:r>
            <w:r w:rsidR="00645089" w:rsidRPr="00645089">
              <w:rPr>
                <w:color w:val="000000"/>
              </w:rPr>
              <w:t>e.g.</w:t>
            </w:r>
            <w:r w:rsidRPr="00645089">
              <w:rPr>
                <w:color w:val="000000"/>
              </w:rPr>
              <w:t xml:space="preserve">, in reagent water, clean sand, or another suitable reference matrix). </w:t>
            </w:r>
            <w:r w:rsidRPr="00645089">
              <w:rPr>
                <w:rStyle w:val="EndnoteReference"/>
                <w:color w:val="000000"/>
              </w:rPr>
              <w:endnoteReference w:id="10"/>
            </w:r>
          </w:p>
          <w:p w:rsidR="00F2396D" w:rsidRPr="00645089" w:rsidRDefault="00F2396D" w:rsidP="00B51904">
            <w:pPr>
              <w:rPr>
                <w:color w:val="000000"/>
              </w:rPr>
            </w:pPr>
          </w:p>
          <w:p w:rsidR="00F2396D" w:rsidRPr="00645089" w:rsidRDefault="00F2396D" w:rsidP="00B51904">
            <w:pPr>
              <w:rPr>
                <w:rFonts w:cs="Times New Roman"/>
              </w:rPr>
            </w:pPr>
            <w:r w:rsidRPr="00645089">
              <w:rPr>
                <w:rFonts w:cs="Times New Roman"/>
              </w:rPr>
              <w:t>An LCS is prepared independently of calibration standards and analyzed along with the samples to check the precision of the measurement system. The LCS can also be used to check the bias due to the way calibration is done. It is also call a Check Standard.</w:t>
            </w:r>
          </w:p>
          <w:p w:rsidR="00F2396D" w:rsidRPr="00645089" w:rsidRDefault="00F2396D" w:rsidP="00B51904">
            <w:pPr>
              <w:rPr>
                <w:rFonts w:cs="Times New Roman"/>
              </w:rPr>
            </w:pPr>
          </w:p>
          <w:p w:rsidR="00F2396D" w:rsidRPr="00645089" w:rsidRDefault="00F2396D" w:rsidP="00B25CA5">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Load Allocation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47DBD">
            <w:pPr>
              <w:rPr>
                <w:rFonts w:cs="Times New Roman"/>
              </w:rPr>
            </w:pPr>
            <w:r w:rsidRPr="00645089">
              <w:rPr>
                <w:rFonts w:cs="Lucida Sans Unicode"/>
                <w:color w:val="151515"/>
              </w:rPr>
              <w:t xml:space="preserve">The portion of the loading capacity attributed to (1) the existing or future nonpoint sources of pollution and (2) natural background sources. </w:t>
            </w:r>
            <w:r w:rsidRPr="00645089">
              <w:rPr>
                <w:rStyle w:val="EndnoteReference"/>
                <w:rFonts w:cs="Lucida Sans Unicode"/>
                <w:color w:val="151515"/>
              </w:rPr>
              <w:endnoteReference w:id="11"/>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Loading (PCBs)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47DBD">
            <w:pPr>
              <w:rPr>
                <w:rFonts w:cs="Times New Roman"/>
              </w:rPr>
            </w:pPr>
            <w:r w:rsidRPr="00645089">
              <w:rPr>
                <w:rFonts w:cs="Times New Roman"/>
              </w:rPr>
              <w:t xml:space="preserve">The actual mass of PCB over a specified time period. The load equals the concentration of PCBs in the water (mass/volume </w:t>
            </w:r>
            <w:r w:rsidR="007D21ED" w:rsidRPr="00645089">
              <w:rPr>
                <w:rFonts w:cs="Times New Roman"/>
              </w:rPr>
              <w:t>e.g.</w:t>
            </w:r>
            <w:r w:rsidRPr="00645089">
              <w:rPr>
                <w:rFonts w:cs="Times New Roman"/>
              </w:rPr>
              <w:t xml:space="preserve"> Mg/liter or parts per million (ppm)) multiplied by the flow rate (volume/unit of time </w:t>
            </w:r>
            <w:r w:rsidR="007D21ED" w:rsidRPr="00645089">
              <w:rPr>
                <w:rFonts w:cs="Times New Roman"/>
              </w:rPr>
              <w:t>e.g.</w:t>
            </w:r>
            <w:r w:rsidRPr="00645089">
              <w:rPr>
                <w:rFonts w:cs="Times New Roman"/>
              </w:rPr>
              <w:t xml:space="preserve"> liter/second).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Losing Reach</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F76CC">
            <w:pPr>
              <w:rPr>
                <w:rFonts w:cs="Times New Roman"/>
              </w:rPr>
            </w:pPr>
            <w:r w:rsidRPr="00645089">
              <w:rPr>
                <w:rFonts w:cs="Times New Roman"/>
              </w:rPr>
              <w:t xml:space="preserve">A reach of the river where water flow is decreasing because river water is flowing into the aquifer.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Matrix Spike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F76CC">
            <w:pPr>
              <w:rPr>
                <w:rFonts w:cs="Times New Roman"/>
              </w:rPr>
            </w:pPr>
            <w:r w:rsidRPr="00645089">
              <w:rPr>
                <w:rFonts w:cs="Times New Roman"/>
              </w:rPr>
              <w:t>A QC sample prepared by adding a known amount of the target analyte to a portion of a sample to check for bias due to interference or matrix effects.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Measurement Quality Objectives (MQOs)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The performance or acceptance criteria for individual data quality indicators, including precisions, bias and sensitivity.</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lastRenderedPageBreak/>
              <w:t>Measurement Result</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A value obtained by carrying out the procedure described in the method.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Measurement Uncertainty</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The range of values attributed to a specific measurement. The measurement uncertainty explains the level of confidence in a particular. </w:t>
            </w:r>
          </w:p>
        </w:tc>
      </w:tr>
      <w:tr w:rsidR="00F2396D" w:rsidRPr="00645089" w:rsidTr="00022F4F">
        <w:trPr>
          <w:trHeight w:val="828"/>
        </w:trPr>
        <w:tc>
          <w:tcPr>
            <w:tcW w:w="2243" w:type="dxa"/>
            <w:vAlign w:val="center"/>
          </w:tcPr>
          <w:p w:rsidR="00F2396D" w:rsidRPr="00645089" w:rsidRDefault="00F2396D" w:rsidP="002D5CD9">
            <w:pPr>
              <w:rPr>
                <w:rFonts w:cs="Times New Roman"/>
              </w:rPr>
            </w:pPr>
            <w:r w:rsidRPr="00645089">
              <w:rPr>
                <w:rFonts w:cs="Times New Roman"/>
              </w:rPr>
              <w:t>Memorandum of Agreement</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E21F9">
            <w:pPr>
              <w:rPr>
                <w:rFonts w:cs="Times New Roman"/>
              </w:rPr>
            </w:pPr>
            <w:r w:rsidRPr="00645089">
              <w:rPr>
                <w:rFonts w:cs="Times New Roman"/>
              </w:rPr>
              <w:t xml:space="preserve">A written agreement between multiple parties that delineates the purpose, policies and procedures that will direct a collaborative effort. </w:t>
            </w:r>
          </w:p>
        </w:tc>
      </w:tr>
      <w:tr w:rsidR="00F2396D" w:rsidRPr="00645089" w:rsidTr="00022F4F">
        <w:trPr>
          <w:trHeight w:val="828"/>
        </w:trPr>
        <w:tc>
          <w:tcPr>
            <w:tcW w:w="2243" w:type="dxa"/>
            <w:vAlign w:val="center"/>
          </w:tcPr>
          <w:p w:rsidR="00F2396D" w:rsidRPr="00645089" w:rsidRDefault="00F2396D" w:rsidP="002D5CD9">
            <w:pPr>
              <w:rPr>
                <w:rFonts w:cs="Times New Roman"/>
              </w:rPr>
            </w:pPr>
            <w:r w:rsidRPr="00645089">
              <w:rPr>
                <w:rFonts w:cs="Times New Roman"/>
              </w:rPr>
              <w:t>Method</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E21F9">
            <w:pPr>
              <w:rPr>
                <w:rFonts w:cs="Times New Roman"/>
              </w:rPr>
            </w:pPr>
            <w:r w:rsidRPr="00645089">
              <w:rPr>
                <w:rFonts w:cs="Times New Roman"/>
              </w:rPr>
              <w:t>A set of written instructions completely defining the procedure to be used.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Method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NewRoman"/>
              </w:rPr>
              <w:t>A type of blank, prepared by the laboratory, which represents the sample matrix as closely as possible and is analyzed exactly like the calibration standards, samples, and quality control (QC) samples. Results of method blanks provide an estimate of the within-batch variability of the blank response and an indication of bias introduced by the analytical procedure.</w:t>
            </w:r>
            <w:r w:rsidRPr="00645089" w:rsidDel="0083274F">
              <w:rPr>
                <w:rFonts w:cs="Times New Roman"/>
              </w:rPr>
              <w:t xml:space="preserve"> </w:t>
            </w:r>
            <w:r w:rsidRPr="00645089">
              <w:rPr>
                <w:rFonts w:cs="Times New Roman"/>
              </w:rPr>
              <w:t>Same as laboratory blank. (EPA)</w:t>
            </w:r>
          </w:p>
        </w:tc>
      </w:tr>
      <w:tr w:rsidR="00F2396D" w:rsidRPr="00645089" w:rsidTr="00022F4F">
        <w:trPr>
          <w:trHeight w:val="567"/>
        </w:trPr>
        <w:tc>
          <w:tcPr>
            <w:tcW w:w="2243" w:type="dxa"/>
            <w:vAlign w:val="center"/>
          </w:tcPr>
          <w:p w:rsidR="00F2396D" w:rsidRPr="00645089" w:rsidRDefault="00F2396D" w:rsidP="00A33723">
            <w:pPr>
              <w:rPr>
                <w:rFonts w:cs="Times New Roman"/>
              </w:rPr>
            </w:pPr>
            <w:r w:rsidRPr="00645089">
              <w:rPr>
                <w:rFonts w:cs="Times New Roman"/>
              </w:rPr>
              <w:t>N-Flagged Data</w:t>
            </w:r>
          </w:p>
        </w:tc>
        <w:tc>
          <w:tcPr>
            <w:tcW w:w="290" w:type="dxa"/>
            <w:vAlign w:val="center"/>
          </w:tcPr>
          <w:p w:rsidR="00F2396D" w:rsidRPr="00645089" w:rsidRDefault="00645089"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The analysis indicates the presence of an analyte for which there is presumptive evidence to make a “tentative identification.”</w:t>
            </w:r>
            <w:r w:rsidRPr="00645089">
              <w:rPr>
                <w:rStyle w:val="EndnoteReference"/>
                <w:rFonts w:cs="Times New Roman"/>
              </w:rPr>
              <w:endnoteReference w:id="12"/>
            </w:r>
          </w:p>
        </w:tc>
      </w:tr>
      <w:tr w:rsidR="00F2396D" w:rsidRPr="00645089" w:rsidTr="00022F4F">
        <w:trPr>
          <w:trHeight w:val="675"/>
        </w:trPr>
        <w:tc>
          <w:tcPr>
            <w:tcW w:w="2243" w:type="dxa"/>
            <w:vAlign w:val="center"/>
          </w:tcPr>
          <w:p w:rsidR="00F2396D" w:rsidRPr="00645089" w:rsidRDefault="00F2396D" w:rsidP="00697362">
            <w:pPr>
              <w:rPr>
                <w:rFonts w:cs="Times New Roman"/>
              </w:rPr>
            </w:pPr>
            <w:r w:rsidRPr="00645089">
              <w:rPr>
                <w:rFonts w:cs="Times New Roman"/>
              </w:rPr>
              <w:t>National Discharge Elimination System (NPDES)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cs="Times New Roman"/>
              </w:rPr>
            </w:pPr>
            <w:r w:rsidRPr="00645089">
              <w:rPr>
                <w:rFonts w:cs="Times New Roman"/>
              </w:rPr>
              <w:t>A program authorized by the Clean Water Act to regulate the entrance of point source pollutants into waterways.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NJ-Flagged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cs="Times New Roman"/>
              </w:rPr>
            </w:pPr>
            <w:r w:rsidRPr="00645089">
              <w:rPr>
                <w:rFonts w:cs="Times New Roman"/>
              </w:rPr>
              <w:t>The analysis indicates the presence of the analyte that has been “tentatively identified” and the associated numerical value represents its approximate concentration. (.</w:t>
            </w:r>
            <w:r w:rsidRPr="00645089">
              <w:t xml:space="preserve"> </w:t>
            </w:r>
            <w:r w:rsidRPr="00645089">
              <w:rPr>
                <w:rStyle w:val="EndnoteReference"/>
              </w:rPr>
              <w:endnoteReference w:id="13"/>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Non-point Source pollution</w:t>
            </w:r>
          </w:p>
        </w:tc>
        <w:tc>
          <w:tcPr>
            <w:tcW w:w="290" w:type="dxa"/>
            <w:vAlign w:val="center"/>
          </w:tcPr>
          <w:p w:rsidR="00F2396D" w:rsidRPr="00645089" w:rsidRDefault="00645089" w:rsidP="00F633D0">
            <w:pPr>
              <w:jc w:val="center"/>
              <w:rPr>
                <w:rFonts w:cs="Times New Roman"/>
                <w:b/>
              </w:rPr>
            </w:pPr>
            <w:r w:rsidRPr="00645089">
              <w:rPr>
                <w:rFonts w:cs="Times New Roman"/>
                <w:b/>
              </w:rPr>
              <w:t>-</w:t>
            </w:r>
          </w:p>
        </w:tc>
        <w:tc>
          <w:tcPr>
            <w:tcW w:w="7115" w:type="dxa"/>
            <w:vAlign w:val="center"/>
          </w:tcPr>
          <w:p w:rsidR="00F2396D" w:rsidRPr="00645089" w:rsidRDefault="00F2396D" w:rsidP="00576756">
            <w:pPr>
              <w:rPr>
                <w:rFonts w:cs="Times New Roman"/>
              </w:rPr>
            </w:pPr>
            <w:r w:rsidRPr="00645089">
              <w:rPr>
                <w:rFonts w:cs="Times New Roman"/>
              </w:rPr>
              <w:t xml:space="preserve">Under the Clean Water Act, </w:t>
            </w:r>
            <w:r w:rsidRPr="00645089">
              <w:rPr>
                <w:rFonts w:cs="Lucida Sans Unicode"/>
                <w:color w:val="151515"/>
              </w:rPr>
              <w:t>any source of water pollution that does not meet the legal definition of "point source" in section 502(14) of the Clean Water Act. Typically non-point source pollution is pollution from land runoff, precipitation, atmospheric deposition, drainage, seepage or hydrologic modification. (EPA)</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Parameter</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eastAsiaTheme="majorEastAsia" w:cs="Times New Roman"/>
                <w:b/>
                <w:bCs/>
                <w:color w:val="4F81BD" w:themeColor="accent1"/>
              </w:rPr>
            </w:pPr>
            <w:r w:rsidRPr="00645089">
              <w:rPr>
                <w:rFonts w:cs="Times New Roman"/>
              </w:rPr>
              <w:t>A specified characteristic of a population or sample.</w:t>
            </w:r>
          </w:p>
        </w:tc>
      </w:tr>
      <w:tr w:rsidR="00F2396D" w:rsidRPr="00645089" w:rsidTr="00022F4F">
        <w:trPr>
          <w:trHeight w:val="666"/>
        </w:trPr>
        <w:tc>
          <w:tcPr>
            <w:tcW w:w="2243" w:type="dxa"/>
            <w:vAlign w:val="center"/>
          </w:tcPr>
          <w:p w:rsidR="00F2396D" w:rsidRPr="00645089" w:rsidRDefault="00F2396D" w:rsidP="00A33723">
            <w:pPr>
              <w:rPr>
                <w:rFonts w:cs="Times New Roman"/>
              </w:rPr>
            </w:pPr>
            <w:r w:rsidRPr="00645089">
              <w:rPr>
                <w:rFonts w:cs="Times New Roman"/>
              </w:rPr>
              <w:t>PCB Congener</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22F4F">
            <w:pPr>
              <w:rPr>
                <w:rFonts w:cs="Times New Roman"/>
              </w:rPr>
            </w:pPr>
            <w:r w:rsidRPr="00645089">
              <w:rPr>
                <w:rFonts w:cs="Times New Roman"/>
              </w:rPr>
              <w:t>A PCB compound that is single and unique.  Congeners are named by the number of chlorine substituents and their position in the PCB molecule. There are 209 different unique PCB congeners.</w:t>
            </w:r>
          </w:p>
        </w:tc>
      </w:tr>
      <w:tr w:rsidR="00F2396D" w:rsidRPr="00645089" w:rsidTr="00022F4F">
        <w:trPr>
          <w:trHeight w:val="666"/>
        </w:trPr>
        <w:tc>
          <w:tcPr>
            <w:tcW w:w="2243" w:type="dxa"/>
            <w:vAlign w:val="center"/>
          </w:tcPr>
          <w:p w:rsidR="00F2396D" w:rsidRPr="00645089" w:rsidRDefault="00F2396D" w:rsidP="00A33723">
            <w:pPr>
              <w:rPr>
                <w:rFonts w:cs="Times New Roman"/>
              </w:rPr>
            </w:pPr>
            <w:r w:rsidRPr="00645089">
              <w:rPr>
                <w:rFonts w:cs="Times New Roman"/>
              </w:rPr>
              <w:t>PCB Homolog</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A PCB congener subcategory grouping those with equal number of chlorine substituents. These include: Monochlorobiphenyl, Dichlorobiphenyl, Trichlorobiphenyl, Tetrachlorobiphenyl, Pentachlorobiphenyl, Hexachlorobiphenyl, Heptachlorobiphenyl, Octachlorobiphenyl, and Nonachlorobiphenyl, and Decachlorobiphenyl (PCB-209)</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Permitted Sources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Point sources of PCBs or other pollutants with NPDES discharge permits.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lastRenderedPageBreak/>
              <w:t>pH</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In water, a measure of the acidity or alkalinity of a substance on a scale of 1-14, and is the negative log of the hydrogen ion concentration. A value of 7 is neutral. Values lower than 7 indicate acidic conditions, values higher than 7 indicate alkaline conditions.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Point Source pollution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rPr>
                <w:rFonts w:cs="Times New Roman"/>
              </w:rPr>
            </w:pPr>
            <w:r w:rsidRPr="00645089">
              <w:rPr>
                <w:rFonts w:cs="Times New Roman"/>
              </w:rPr>
              <w:t>Under the Clean Water Act, any “</w:t>
            </w:r>
            <w:r w:rsidRPr="00645089">
              <w:rPr>
                <w:rFonts w:cs="Lucida Sans Unicode"/>
                <w:color w:val="151515"/>
              </w:rPr>
              <w:t>discernible, confined and discrete conveyance, including but not limited to any pipe, ditch, channel, tunnel, conduit, well, discrete fissure, container, rolling stock, concentrated animal feeding operation, or vessel or other floating craft, from which pollutants are or may be discharged. This term does not include agricultural storm water discharges and return flows from irrigated agriculture.” (EPA)</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Polychlorinated byphenyls (PCBs)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rPr>
                <w:rFonts w:cs="Times New Roman"/>
              </w:rPr>
            </w:pPr>
            <w:r w:rsidRPr="00645089">
              <w:rPr>
                <w:rFonts w:cs="Times New Roman"/>
              </w:rPr>
              <w:t>A family of toxic human-made compounds that persist in the environment and accumulate in animal tissue. There are 209 different PCB molecules that range in toxicity. PCB mixtures vary, from thin and light-colored liquids to yellow or even black waxy solids.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Population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22F4F">
            <w:pPr>
              <w:rPr>
                <w:rFonts w:cs="Times New Roman"/>
              </w:rPr>
            </w:pPr>
            <w:r w:rsidRPr="00645089">
              <w:rPr>
                <w:rFonts w:cs="Times New Roman"/>
              </w:rPr>
              <w:t xml:space="preserve">The hypothetical set of all possible observations of the type which is being investigated. </w:t>
            </w: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Precision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26292B">
            <w:pPr>
              <w:rPr>
                <w:rFonts w:cs="TimesNewRoman"/>
              </w:rPr>
            </w:pPr>
            <w:r w:rsidRPr="00645089">
              <w:rPr>
                <w:rFonts w:cs="Times New Roman"/>
              </w:rPr>
              <w:t xml:space="preserve"> </w:t>
            </w:r>
            <w:r w:rsidR="007D21ED" w:rsidRPr="00645089">
              <w:rPr>
                <w:rFonts w:cs="Times New Roman"/>
              </w:rPr>
              <w:t xml:space="preserve">In Quality Assurance Project Plans, the </w:t>
            </w:r>
            <w:r w:rsidR="007D21ED" w:rsidRPr="00645089">
              <w:rPr>
                <w:rFonts w:cs="TimesNewRoman"/>
              </w:rPr>
              <w:t xml:space="preserve">measure of agreement among repeated measurements of the same property under identical or substantially similar conditions; usually calculated as either the range or as the standard deviation. </w:t>
            </w:r>
            <w:r w:rsidRPr="00645089">
              <w:rPr>
                <w:rFonts w:cs="TimesNewRoman"/>
              </w:rPr>
              <w:t>Laboratory precision is determined by repeated analyses using the same method on the same analytical instrument. Interlaboratory precision is measured by analyzing the same sample with the same method. Typically the sample is split in the field, handled, preserved, and stored consistently before submittal to multiple laboratories. Field precision is determined by collecting, processing and analyzing collocated (duplicate) samples (EPA).</w:t>
            </w:r>
          </w:p>
          <w:p w:rsidR="00F2396D" w:rsidRPr="00645089" w:rsidRDefault="00F2396D" w:rsidP="0026292B">
            <w:pPr>
              <w:rPr>
                <w:rFonts w:cs="TimesNewRoman"/>
              </w:rPr>
            </w:pPr>
          </w:p>
          <w:p w:rsidR="00F2396D" w:rsidRPr="00645089" w:rsidRDefault="00F2396D" w:rsidP="00697362">
            <w:pPr>
              <w:rPr>
                <w:rFonts w:cs="Times New Roman"/>
              </w:rPr>
            </w:pP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Quality Assurance (QA)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697362">
            <w:pPr>
              <w:rPr>
                <w:rFonts w:cs="Times New Roman"/>
              </w:rPr>
            </w:pPr>
            <w:r w:rsidRPr="00645089">
              <w:rPr>
                <w:rFonts w:cs="TimesNewRoman"/>
              </w:rPr>
              <w:t xml:space="preserve">An integrated system of management activities involving planning, implementation, assessment, reporting, and quality improvement to ensure that a process, item, or service is of the type and quality needed for </w:t>
            </w:r>
            <w:r w:rsidR="007D21ED" w:rsidRPr="00645089">
              <w:rPr>
                <w:rFonts w:cs="TimesNewRoman"/>
              </w:rPr>
              <w:t>decision-making</w:t>
            </w:r>
            <w:r w:rsidRPr="00645089">
              <w:rPr>
                <w:rFonts w:cs="TimesNewRoman"/>
              </w:rPr>
              <w:t>.(EPA)</w:t>
            </w: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Quality Assurance Project Plan(QAPP)</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26292B">
            <w:pPr>
              <w:rPr>
                <w:rFonts w:cs="Times New Roman"/>
              </w:rPr>
            </w:pPr>
            <w:r w:rsidRPr="00645089">
              <w:rPr>
                <w:rFonts w:cs="Times New Roman"/>
              </w:rPr>
              <w:t xml:space="preserve">A formal document that describes the procedures that are to be used to assure that the management; data generation, acquisition, validation and usability; and assessment and oversight of the project are executed in a manner consistent with applicable United States Environmental Protection Agency and the Department of Ecology guidelines.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Quality Control (QC)</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autoSpaceDE w:val="0"/>
              <w:autoSpaceDN w:val="0"/>
              <w:adjustRightInd w:val="0"/>
              <w:rPr>
                <w:rFonts w:cs="Times New Roman"/>
              </w:rPr>
            </w:pPr>
            <w:r w:rsidRPr="00645089">
              <w:rPr>
                <w:rFonts w:cs="TimesNewRoman"/>
              </w:rPr>
              <w:t>The overall system of technical activities that measures the attributes and performance of a process, item, or service against defined  standards to verify that they meet the specifications established in the QAPP (EPA)</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R-Flagged Data</w:t>
            </w: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CB7E59">
            <w:pPr>
              <w:rPr>
                <w:rFonts w:cs="Times New Roman"/>
              </w:rPr>
            </w:pPr>
            <w:r w:rsidRPr="00645089">
              <w:rPr>
                <w:rFonts w:cs="Times New Roman"/>
              </w:rPr>
              <w:t>The sample results are rejected due to serious deficiencies in the ability to analyze the sample and meet QC criteria. The presence or absence of the analyte cannot be verified and the result has been rejected. A sample result may be qualified with an “R” qualifier when the instrument did not remain “in control” or the stability or sensitivity of the instrument were not maintained during the analysis</w:t>
            </w:r>
            <w:r w:rsidRPr="00645089">
              <w:rPr>
                <w:rStyle w:val="EndnoteReference"/>
                <w:rFonts w:cs="Times New Roman"/>
              </w:rPr>
              <w:endnoteReference w:id="14"/>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lastRenderedPageBreak/>
              <w:t>Recurrence Interval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autoSpaceDE w:val="0"/>
              <w:autoSpaceDN w:val="0"/>
              <w:adjustRightInd w:val="0"/>
              <w:rPr>
                <w:rFonts w:cs="Times New Roman"/>
              </w:rPr>
            </w:pPr>
            <w:r w:rsidRPr="00645089">
              <w:rPr>
                <w:rFonts w:cs="Times New Roman"/>
              </w:rPr>
              <w:t>The likelihood of a particular event happening again.</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Relative Percent Difference (RPD)</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22F4F">
            <w:pPr>
              <w:autoSpaceDE w:val="0"/>
              <w:autoSpaceDN w:val="0"/>
              <w:adjustRightInd w:val="0"/>
              <w:rPr>
                <w:rFonts w:cs="Times New Roman"/>
              </w:rPr>
            </w:pPr>
            <w:r w:rsidRPr="00645089">
              <w:rPr>
                <w:rFonts w:cs="Times New Roman"/>
              </w:rPr>
              <w:t>The difference, in percent, between two samples. RPD is a measure of the precision of the data.</w:t>
            </w:r>
            <w:r w:rsidRPr="00645089">
              <w:rPr>
                <w:rStyle w:val="EndnoteReference"/>
                <w:rFonts w:cs="Times New Roman"/>
              </w:rPr>
              <w:endnoteReference w:id="15"/>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Representativeness</w:t>
            </w: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1A6FD4">
            <w:pPr>
              <w:autoSpaceDE w:val="0"/>
              <w:autoSpaceDN w:val="0"/>
              <w:adjustRightInd w:val="0"/>
              <w:rPr>
                <w:rFonts w:cs="TimesNewRoman"/>
              </w:rPr>
            </w:pPr>
            <w:r w:rsidRPr="00645089">
              <w:rPr>
                <w:rFonts w:cs="TimesNewRoman"/>
              </w:rPr>
              <w:t>“The degree to which data accurately and precisely represent a</w:t>
            </w:r>
          </w:p>
          <w:p w:rsidR="00F2396D" w:rsidRPr="00645089" w:rsidRDefault="00F2396D" w:rsidP="007D21ED">
            <w:pPr>
              <w:autoSpaceDE w:val="0"/>
              <w:autoSpaceDN w:val="0"/>
              <w:adjustRightInd w:val="0"/>
              <w:rPr>
                <w:rFonts w:cs="Times New Roman"/>
              </w:rPr>
            </w:pPr>
            <w:r w:rsidRPr="00645089">
              <w:rPr>
                <w:rFonts w:cs="TimesNewRoman"/>
              </w:rPr>
              <w:t>characteristic of a population, parameter variations at a sampling</w:t>
            </w:r>
            <w:r w:rsidR="007D21ED">
              <w:rPr>
                <w:rFonts w:cs="TimesNewRoman"/>
              </w:rPr>
              <w:t xml:space="preserve"> </w:t>
            </w:r>
            <w:r w:rsidRPr="00645089">
              <w:rPr>
                <w:rFonts w:cs="TimesNewRoman"/>
              </w:rPr>
              <w:t>point, a process condition, or an environmental condition.” (ANSI/ASQC 1995). Representativeness is determined by evaluating whether or not the data from the collected samples appropriately reflect the environment or condition being measured or studied. (EPA)</w:t>
            </w:r>
          </w:p>
        </w:tc>
      </w:tr>
      <w:tr w:rsidR="00F2396D" w:rsidRPr="00645089" w:rsidTr="00022F4F">
        <w:trPr>
          <w:trHeight w:val="864"/>
        </w:trPr>
        <w:tc>
          <w:tcPr>
            <w:tcW w:w="2243" w:type="dxa"/>
            <w:vAlign w:val="center"/>
          </w:tcPr>
          <w:p w:rsidR="00F2396D" w:rsidRPr="00645089" w:rsidRDefault="00F2396D" w:rsidP="002628CC">
            <w:pPr>
              <w:rPr>
                <w:rFonts w:cs="Times New Roman"/>
              </w:rPr>
            </w:pPr>
            <w:r w:rsidRPr="00645089">
              <w:rPr>
                <w:rFonts w:cs="Times New Roman"/>
              </w:rPr>
              <w:t>Sensitivity</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150B9">
            <w:pPr>
              <w:autoSpaceDE w:val="0"/>
              <w:autoSpaceDN w:val="0"/>
              <w:adjustRightInd w:val="0"/>
              <w:rPr>
                <w:rFonts w:cs="TimesNewRoman"/>
              </w:rPr>
            </w:pPr>
            <w:r w:rsidRPr="00645089">
              <w:rPr>
                <w:rFonts w:cs="TimesNewRoman"/>
              </w:rPr>
              <w:t>The capability of a method or instrument to discriminate between measurement responses representing different levels of the variable of interest. Sensitivity is determined by identifying the minimum concentration or attribute that can be measured by a method (method detection limit), by an instrument (instrument detection limit),</w:t>
            </w:r>
          </w:p>
          <w:p w:rsidR="00F2396D" w:rsidRPr="00645089" w:rsidRDefault="00F2396D" w:rsidP="00D44B77">
            <w:pPr>
              <w:rPr>
                <w:rFonts w:cs="Times New Roman"/>
              </w:rPr>
            </w:pPr>
            <w:r w:rsidRPr="00645089">
              <w:rPr>
                <w:rFonts w:cs="TimesNewRoman"/>
              </w:rPr>
              <w:t>or by a laboratory (</w:t>
            </w:r>
            <w:r w:rsidR="007D21ED" w:rsidRPr="00645089">
              <w:rPr>
                <w:rFonts w:cs="TimesNewRoman"/>
              </w:rPr>
              <w:t>quanti</w:t>
            </w:r>
            <w:r w:rsidR="007D21ED">
              <w:rPr>
                <w:rFonts w:cs="TimesNewRoman"/>
              </w:rPr>
              <w:t>fic</w:t>
            </w:r>
            <w:r w:rsidR="007D21ED" w:rsidRPr="00645089">
              <w:rPr>
                <w:rFonts w:cs="TimesNewRoman"/>
              </w:rPr>
              <w:t>ation</w:t>
            </w:r>
            <w:r w:rsidRPr="00645089">
              <w:rPr>
                <w:rFonts w:cs="TimesNewRoman"/>
              </w:rPr>
              <w:t xml:space="preserve"> limit).</w:t>
            </w:r>
          </w:p>
        </w:tc>
      </w:tr>
      <w:tr w:rsidR="00F2396D" w:rsidRPr="00645089" w:rsidTr="00022F4F">
        <w:trPr>
          <w:trHeight w:val="864"/>
        </w:trPr>
        <w:tc>
          <w:tcPr>
            <w:tcW w:w="2243" w:type="dxa"/>
            <w:vAlign w:val="center"/>
          </w:tcPr>
          <w:p w:rsidR="00F2396D" w:rsidRPr="00645089" w:rsidRDefault="00F2396D" w:rsidP="002628CC">
            <w:pPr>
              <w:rPr>
                <w:rFonts w:cs="Times New Roman"/>
              </w:rPr>
            </w:pPr>
            <w:r w:rsidRPr="00645089">
              <w:rPr>
                <w:rFonts w:cs="Times New Roman"/>
              </w:rPr>
              <w:t>Standard Operating Procedure (SOP)</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D44B77">
            <w:pPr>
              <w:autoSpaceDE w:val="0"/>
              <w:autoSpaceDN w:val="0"/>
              <w:adjustRightInd w:val="0"/>
              <w:rPr>
                <w:rFonts w:cs="Times New Roman"/>
              </w:rPr>
            </w:pPr>
            <w:r w:rsidRPr="00645089">
              <w:rPr>
                <w:rFonts w:cs="Times New Roman"/>
              </w:rPr>
              <w:t>A document that describes the approved method for performing routine procedures.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Synoptic Survey</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150B9">
            <w:pPr>
              <w:rPr>
                <w:rFonts w:cs="Times New Roman"/>
              </w:rPr>
            </w:pPr>
            <w:r w:rsidRPr="00645089">
              <w:rPr>
                <w:rFonts w:cs="Times New Roman"/>
              </w:rPr>
              <w:t>A series of sampling events executed with the purpose of getting a snapshot of the river during a specific time period during specific conditions (low flow, high flow/wet weather etc).</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Total Maximum Daily Load (TMDL)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48A2">
            <w:pPr>
              <w:rPr>
                <w:rFonts w:cs="Times New Roman"/>
              </w:rPr>
            </w:pPr>
            <w:r w:rsidRPr="00645089">
              <w:rPr>
                <w:rFonts w:cs="Times New Roman"/>
              </w:rPr>
              <w:t xml:space="preserve">The maximum load of a pollutant allowable in a given body of water so as not to exceed water quality standards set by the Clean Water Act.  </w:t>
            </w:r>
          </w:p>
          <w:p w:rsidR="00F2396D" w:rsidRPr="00645089" w:rsidRDefault="00F2396D" w:rsidP="00F61214">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Transfer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48A2">
            <w:pPr>
              <w:rPr>
                <w:rFonts w:cs="Times New Roman"/>
              </w:rPr>
            </w:pPr>
            <w:r w:rsidRPr="00645089">
              <w:rPr>
                <w:rFonts w:cs="Times New Roman"/>
              </w:rPr>
              <w:t>A blank obtained by pouring deionized water into the sample container in the field. Transfer blanks give information about contamination of the sample resulting from the field handling activities  (sometimes referred to as atmospheric blanks)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Trip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48A2">
            <w:pPr>
              <w:rPr>
                <w:rFonts w:cs="Times New Roman"/>
              </w:rPr>
            </w:pPr>
            <w:r w:rsidRPr="00645089">
              <w:rPr>
                <w:rFonts w:cs="Times New Roman"/>
              </w:rPr>
              <w:t xml:space="preserve">A blank obtained by taking a sample container that was sealed at the lab into the field and then back to the lab again. Trip blanks give information about contamination that might occur during the transport of the sample container.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TSCA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4E3FD3" w:rsidP="00C575F4">
            <w:pPr>
              <w:rPr>
                <w:rFonts w:cs="Times New Roman"/>
              </w:rPr>
            </w:pPr>
            <w:r>
              <w:rPr>
                <w:rFonts w:cs="Times New Roman"/>
              </w:rPr>
              <w:t>Toxic Substances Control Act</w:t>
            </w:r>
            <w:r w:rsidR="00D63220">
              <w:rPr>
                <w:rFonts w:cs="Times New Roman"/>
              </w:rPr>
              <w:t xml:space="preserve"> of 1976</w:t>
            </w:r>
            <w:r>
              <w:rPr>
                <w:rFonts w:cs="Times New Roman"/>
              </w:rPr>
              <w:t xml:space="preserve">. TSCA </w:t>
            </w:r>
            <w:r w:rsidR="00C575F4">
              <w:rPr>
                <w:rFonts w:cs="Times New Roman"/>
              </w:rPr>
              <w:t>regulates</w:t>
            </w:r>
            <w:r>
              <w:rPr>
                <w:rFonts w:cs="Times New Roman"/>
              </w:rPr>
              <w:t xml:space="preserve"> chemical substances and mixtures</w:t>
            </w:r>
            <w:r w:rsidR="00C575F4">
              <w:rPr>
                <w:rFonts w:cs="Times New Roman"/>
              </w:rPr>
              <w:t xml:space="preserve"> such as PCBs </w:t>
            </w:r>
            <w:r>
              <w:rPr>
                <w:rStyle w:val="EndnoteReference"/>
                <w:rFonts w:cs="Times New Roman"/>
              </w:rPr>
              <w:endnoteReference w:id="16"/>
            </w:r>
            <w:r w:rsidR="00D63220">
              <w:rPr>
                <w:rFonts w:cs="Times New Roman"/>
              </w:rPr>
              <w:t xml:space="preserve"> ,</w:t>
            </w:r>
            <w:r w:rsidR="00D63220">
              <w:rPr>
                <w:rStyle w:val="EndnoteReference"/>
                <w:rFonts w:cs="Times New Roman"/>
              </w:rPr>
              <w:endnoteReference w:id="17"/>
            </w:r>
            <w:r w:rsidR="00C575F4">
              <w:rPr>
                <w:rFonts w:cs="Times New Roman"/>
              </w:rPr>
              <w:t>. Many substances (food, drugs, pesticides) are exempt from TSCA and it allows for the inadvertent production of PCBs during manufacturing.</w:t>
            </w:r>
            <w:r w:rsidR="00C575F4" w:rsidDel="00C575F4">
              <w:rPr>
                <w:rFonts w:cs="Times New Roman"/>
              </w:rPr>
              <w:t xml:space="preserve">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U-Flagged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D44B77">
            <w:pPr>
              <w:rPr>
                <w:rFonts w:cs="Times New Roman"/>
              </w:rPr>
            </w:pPr>
            <w:r w:rsidRPr="00645089">
              <w:rPr>
                <w:rFonts w:cs="Times New Roman"/>
              </w:rPr>
              <w:t>The substance or analyte was analyzed for, but no quantifiable concentration was found.</w:t>
            </w:r>
            <w:r w:rsidRPr="00645089">
              <w:rPr>
                <w:rStyle w:val="EndnoteReference"/>
                <w:rFonts w:cs="Times New Roman"/>
              </w:rPr>
              <w:endnoteReference w:id="18"/>
            </w:r>
          </w:p>
        </w:tc>
      </w:tr>
      <w:tr w:rsidR="00F2396D" w:rsidRPr="00645089" w:rsidTr="00022F4F">
        <w:trPr>
          <w:trHeight w:val="828"/>
        </w:trPr>
        <w:tc>
          <w:tcPr>
            <w:tcW w:w="2243" w:type="dxa"/>
            <w:vAlign w:val="center"/>
          </w:tcPr>
          <w:p w:rsidR="00F2396D" w:rsidRPr="00645089" w:rsidRDefault="00F2396D" w:rsidP="0060578F">
            <w:pPr>
              <w:rPr>
                <w:rFonts w:cs="Times New Roman"/>
              </w:rPr>
            </w:pPr>
          </w:p>
          <w:p w:rsidR="00F2396D" w:rsidRPr="00645089" w:rsidRDefault="00F2396D" w:rsidP="00A33723">
            <w:pPr>
              <w:rPr>
                <w:rFonts w:cs="Times New Roman"/>
              </w:rPr>
            </w:pPr>
            <w:r w:rsidRPr="00645089">
              <w:rPr>
                <w:rFonts w:cs="Times New Roman"/>
              </w:rPr>
              <w:t>Wasteload Allocation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D44B77">
            <w:pPr>
              <w:rPr>
                <w:rFonts w:cs="Times New Roman"/>
              </w:rPr>
            </w:pPr>
            <w:r w:rsidRPr="00645089">
              <w:rPr>
                <w:rFonts w:cs="Lucida Sans Unicode"/>
                <w:color w:val="151515"/>
              </w:rPr>
              <w:t xml:space="preserve">The portion of </w:t>
            </w:r>
            <w:r w:rsidR="007D21ED" w:rsidRPr="00645089">
              <w:rPr>
                <w:rFonts w:cs="Lucida Sans Unicode"/>
                <w:color w:val="151515"/>
              </w:rPr>
              <w:t>receiving</w:t>
            </w:r>
            <w:r w:rsidRPr="00645089">
              <w:rPr>
                <w:rFonts w:cs="Lucida Sans Unicode"/>
                <w:color w:val="151515"/>
              </w:rPr>
              <w:t xml:space="preserve"> water's loading capacity that is allocated to one of its existing or future point sources of pollution (e.g., permitted waste treatment facilities).</w:t>
            </w:r>
            <w:r w:rsidRPr="00645089">
              <w:rPr>
                <w:rStyle w:val="EndnoteReference"/>
                <w:rFonts w:cs="Lucida Sans Unicode"/>
                <w:color w:val="151515"/>
              </w:rPr>
              <w:endnoteReference w:id="19"/>
            </w:r>
          </w:p>
        </w:tc>
      </w:tr>
      <w:tr w:rsidR="00F2396D" w:rsidRPr="00645089" w:rsidTr="00022F4F">
        <w:trPr>
          <w:trHeight w:val="828"/>
        </w:trPr>
        <w:tc>
          <w:tcPr>
            <w:tcW w:w="2243" w:type="dxa"/>
            <w:vAlign w:val="center"/>
          </w:tcPr>
          <w:p w:rsidR="00F2396D" w:rsidRPr="00645089" w:rsidRDefault="00F2396D" w:rsidP="00022F4F">
            <w:pPr>
              <w:rPr>
                <w:rFonts w:cs="Times New Roman"/>
              </w:rPr>
            </w:pPr>
            <w:r w:rsidRPr="00645089">
              <w:rPr>
                <w:rFonts w:cs="Times New Roman"/>
              </w:rPr>
              <w:lastRenderedPageBreak/>
              <w:t>UJ-Flagged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45E96">
            <w:pPr>
              <w:autoSpaceDE w:val="0"/>
              <w:autoSpaceDN w:val="0"/>
              <w:adjustRightInd w:val="0"/>
              <w:rPr>
                <w:rFonts w:cs="Times New Roman"/>
              </w:rPr>
            </w:pPr>
            <w:r w:rsidRPr="00645089">
              <w:rPr>
                <w:rFonts w:cs="Times New Roman"/>
              </w:rPr>
              <w:t>The analyte was not quantifiable and  one or more QA/QC requirements have not met acceptance criteria</w:t>
            </w:r>
            <w:r w:rsidRPr="00645089">
              <w:rPr>
                <w:rStyle w:val="EndnoteReference"/>
                <w:rFonts w:cs="Times New Roman"/>
              </w:rPr>
              <w:endnoteReference w:id="20"/>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 401 Certification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645089" w:rsidP="00645089">
            <w:pPr>
              <w:rPr>
                <w:rFonts w:cs="Times New Roman"/>
              </w:rPr>
            </w:pPr>
            <w:r w:rsidRPr="00645089">
              <w:rPr>
                <w:rFonts w:cs="Times New Roman"/>
              </w:rPr>
              <w:t>Any permitted source of water to a US water body must receive a water quality certification from the State that it is located in under section 401 of the Clean Water Act. This certification provides resources and tools for meeting water quality standards.</w:t>
            </w:r>
            <w:r w:rsidRPr="00645089">
              <w:rPr>
                <w:rStyle w:val="EndnoteReference"/>
                <w:rFonts w:cs="Times New Roman"/>
              </w:rPr>
              <w:endnoteReference w:id="21"/>
            </w:r>
            <w:r w:rsidRPr="00645089">
              <w:rPr>
                <w:rFonts w:cs="Times New Roman"/>
                <w:vertAlign w:val="superscript"/>
              </w:rPr>
              <w:t xml:space="preserve">, </w:t>
            </w:r>
            <w:r w:rsidRPr="00645089">
              <w:rPr>
                <w:rStyle w:val="EndnoteReference"/>
                <w:rFonts w:cs="Times New Roman"/>
              </w:rPr>
              <w:endnoteReference w:id="22"/>
            </w:r>
            <w:r w:rsidRPr="00645089">
              <w:rPr>
                <w:rFonts w:cs="Times New Roman"/>
              </w:rPr>
              <w:t xml:space="preserve"> </w:t>
            </w:r>
          </w:p>
        </w:tc>
      </w:tr>
      <w:tr w:rsidR="00F2396D" w:rsidRPr="00645089" w:rsidTr="00022F4F">
        <w:trPr>
          <w:trHeight w:val="828"/>
        </w:trPr>
        <w:tc>
          <w:tcPr>
            <w:tcW w:w="2243" w:type="dxa"/>
            <w:vAlign w:val="center"/>
          </w:tcPr>
          <w:p w:rsidR="00F2396D" w:rsidRPr="00645089" w:rsidRDefault="00F2396D" w:rsidP="00022F4F">
            <w:pPr>
              <w:rPr>
                <w:rFonts w:cs="Times New Roman"/>
              </w:rPr>
            </w:pP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022F4F">
            <w:pPr>
              <w:autoSpaceDE w:val="0"/>
              <w:autoSpaceDN w:val="0"/>
              <w:adjustRightInd w:val="0"/>
              <w:rPr>
                <w:rFonts w:cs="Times New Roman"/>
              </w:rPr>
            </w:pPr>
            <w:r w:rsidRPr="00645089">
              <w:rPr>
                <w:rFonts w:cs="Times New Roman"/>
              </w:rPr>
              <w:t>For later inclusion: lipid content, hole fish, fillet (regarding fish and bioaccumulation)</w:t>
            </w:r>
          </w:p>
        </w:tc>
      </w:tr>
      <w:tr w:rsidR="00F2396D" w:rsidRPr="00645089" w:rsidTr="00022F4F">
        <w:trPr>
          <w:trHeight w:val="828"/>
        </w:trPr>
        <w:tc>
          <w:tcPr>
            <w:tcW w:w="2243" w:type="dxa"/>
            <w:vAlign w:val="center"/>
          </w:tcPr>
          <w:p w:rsidR="00F2396D" w:rsidRPr="00645089" w:rsidRDefault="00F2396D" w:rsidP="00022F4F">
            <w:pPr>
              <w:rPr>
                <w:rFonts w:cs="Times New Roman"/>
              </w:rPr>
            </w:pP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022F4F">
            <w:pPr>
              <w:autoSpaceDE w:val="0"/>
              <w:autoSpaceDN w:val="0"/>
              <w:adjustRightInd w:val="0"/>
              <w:rPr>
                <w:rFonts w:cs="Times New Roman"/>
              </w:rPr>
            </w:pPr>
          </w:p>
        </w:tc>
      </w:tr>
      <w:tr w:rsidR="00F2396D" w:rsidRPr="00645089" w:rsidTr="00022F4F">
        <w:trPr>
          <w:trHeight w:val="828"/>
        </w:trPr>
        <w:tc>
          <w:tcPr>
            <w:tcW w:w="2243" w:type="dxa"/>
            <w:vAlign w:val="center"/>
          </w:tcPr>
          <w:p w:rsidR="00F2396D" w:rsidRPr="00645089" w:rsidRDefault="00F2396D" w:rsidP="00022F4F">
            <w:pPr>
              <w:rPr>
                <w:rFonts w:cs="Times New Roman"/>
              </w:rPr>
            </w:pP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022F4F">
            <w:pPr>
              <w:autoSpaceDE w:val="0"/>
              <w:autoSpaceDN w:val="0"/>
              <w:adjustRightInd w:val="0"/>
              <w:rPr>
                <w:rFonts w:cs="Times New Roman"/>
              </w:rPr>
            </w:pPr>
          </w:p>
        </w:tc>
      </w:tr>
    </w:tbl>
    <w:p w:rsidR="00F633D0" w:rsidRPr="00645089" w:rsidRDefault="00F633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6930"/>
      </w:tblGrid>
      <w:tr w:rsidR="00C6793D" w:rsidRPr="00645089" w:rsidTr="00C6793D">
        <w:trPr>
          <w:trHeight w:val="828"/>
        </w:trPr>
        <w:tc>
          <w:tcPr>
            <w:tcW w:w="2646" w:type="dxa"/>
            <w:vAlign w:val="center"/>
          </w:tcPr>
          <w:p w:rsidR="00C6793D" w:rsidRPr="00645089" w:rsidRDefault="00C6793D" w:rsidP="00A33723">
            <w:pPr>
              <w:rPr>
                <w:rFonts w:cs="Times New Roman"/>
                <w:b/>
              </w:rPr>
            </w:pPr>
            <w:r w:rsidRPr="00645089">
              <w:rPr>
                <w:rFonts w:cs="Times New Roman"/>
                <w:b/>
              </w:rPr>
              <w:t>References</w:t>
            </w:r>
          </w:p>
        </w:tc>
        <w:tc>
          <w:tcPr>
            <w:tcW w:w="6930" w:type="dxa"/>
            <w:vAlign w:val="center"/>
          </w:tcPr>
          <w:p w:rsidR="00C6793D" w:rsidRPr="00645089" w:rsidRDefault="00C6793D"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LimnoTech. (2014). Quality Assurance Project Plan: Spokane River Toxics Reduction Strategy Study. Prepared for the Spokane River Regional Toxics Task Force. LimnoTech, 2015. Web. 15 Feb. 2015.</w:t>
            </w: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LimnoTech. (2014). Sampling &amp; Analysis Plan: Spokane River Toxics Reduction Strategy Study. Prepared for the Spokane River Regional Toxics Task Force. LimnoTech, 2015. Web. 15 Feb. 2015.</w:t>
            </w: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Water: Permitting (NPDES). (2014, September 18). Retrieved February 15, 2015, from http://water.epa.gov/polwaste/npdes/.</w:t>
            </w: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 xml:space="preserve">Persistent Bioaccumulative and Toxic (PBT) Chemical Program. Dioxins and Furans (2011, April 18). </w:t>
            </w:r>
            <w:r w:rsidRPr="00645089">
              <w:t>Retrieved February 15, 2015, from http://www.epa.gov/pbt/pubs/dioxins.htm</w:t>
            </w:r>
          </w:p>
        </w:tc>
      </w:tr>
      <w:tr w:rsidR="00A32E7B" w:rsidRPr="00645089" w:rsidTr="0026292B">
        <w:trPr>
          <w:trHeight w:val="828"/>
        </w:trPr>
        <w:tc>
          <w:tcPr>
            <w:tcW w:w="9576" w:type="dxa"/>
            <w:gridSpan w:val="2"/>
          </w:tcPr>
          <w:p w:rsidR="00A32E7B" w:rsidRPr="00645089" w:rsidRDefault="00A32E7B" w:rsidP="00F61214">
            <w:r w:rsidRPr="00645089">
              <w:t xml:space="preserve">Polychlorinated Biphenyls (PCBs), PCB Congeners. (2013, January 31). Retrieved February 15, 2015, from </w:t>
            </w:r>
            <w:hyperlink r:id="rId7" w:history="1">
              <w:r w:rsidR="007150B9" w:rsidRPr="00645089">
                <w:rPr>
                  <w:rStyle w:val="Hyperlink"/>
                </w:rPr>
                <w:t>http://www.epa.gov/epawaste/hazard/tsd/pcbs/pubs/congeners.htm</w:t>
              </w:r>
            </w:hyperlink>
          </w:p>
          <w:p w:rsidR="007150B9" w:rsidRPr="00645089" w:rsidRDefault="007150B9" w:rsidP="00F61214"/>
          <w:p w:rsidR="00EF5F8B" w:rsidRPr="00645089" w:rsidRDefault="00EF5F8B" w:rsidP="00F61214">
            <w:r w:rsidRPr="00645089">
              <w:t xml:space="preserve">EPA Guidance for the Data Quality Objectives Process, EPA QA/G-4: </w:t>
            </w:r>
            <w:r w:rsidRPr="00645089">
              <w:rPr>
                <w:rFonts w:cs="Times New Roman"/>
                <w:b/>
                <w:bCs/>
              </w:rPr>
              <w:t>EPA/600/R-96/055</w:t>
            </w:r>
            <w:r w:rsidRPr="00645089">
              <w:t xml:space="preserve"> (September 1994) http://www.epa.gov/osw/hazard/correctiveaction/resources/guidance/qa/epaqag4.pdf</w:t>
            </w:r>
          </w:p>
          <w:p w:rsidR="00EF5F8B" w:rsidRPr="00645089" w:rsidRDefault="00EF5F8B" w:rsidP="00F61214"/>
          <w:p w:rsidR="007150B9" w:rsidRPr="00645089" w:rsidRDefault="007150B9" w:rsidP="00F61214">
            <w:r w:rsidRPr="00645089">
              <w:t xml:space="preserve">EPA Guidance for Quality Assurance Plans, EPA QA/G-5: </w:t>
            </w:r>
            <w:r w:rsidRPr="00645089">
              <w:rPr>
                <w:rFonts w:cs="Arial"/>
              </w:rPr>
              <w:t>EPA/240/R-02/009</w:t>
            </w:r>
            <w:r w:rsidRPr="00645089">
              <w:t xml:space="preserve"> (December 2002). </w:t>
            </w:r>
            <w:hyperlink r:id="rId8" w:history="1">
              <w:r w:rsidR="00816C8B" w:rsidRPr="00645089">
                <w:rPr>
                  <w:rStyle w:val="Hyperlink"/>
                </w:rPr>
                <w:t>http://www.epa.gov/QUALITY/qs-docs/g5-final.pdf</w:t>
              </w:r>
            </w:hyperlink>
          </w:p>
          <w:p w:rsidR="00816C8B" w:rsidRPr="00645089" w:rsidRDefault="00816C8B" w:rsidP="00F61214"/>
          <w:p w:rsidR="00816C8B" w:rsidRPr="00645089" w:rsidRDefault="00D44B77" w:rsidP="00F61214">
            <w:r w:rsidRPr="00645089">
              <w:t>These are also good references</w:t>
            </w:r>
            <w:r w:rsidR="00816C8B" w:rsidRPr="00645089">
              <w:t xml:space="preserve">: </w:t>
            </w:r>
            <w:hyperlink r:id="rId9" w:history="1">
              <w:r w:rsidRPr="00645089">
                <w:rPr>
                  <w:rStyle w:val="Hyperlink"/>
                </w:rPr>
                <w:t>http://www.epa.gov/fem/pdfs/Env_Measurement_Glossary_Final_Jan_2010.pdf</w:t>
              </w:r>
            </w:hyperlink>
          </w:p>
          <w:p w:rsidR="00D44B77" w:rsidRPr="00645089" w:rsidRDefault="00D44B77" w:rsidP="00F61214">
            <w:pPr>
              <w:rPr>
                <w:rFonts w:cs="Times New Roman"/>
              </w:rPr>
            </w:pPr>
            <w:r w:rsidRPr="00645089">
              <w:rPr>
                <w:rFonts w:cs="Times New Roman"/>
              </w:rPr>
              <w:t>http://www.epa.gov/owow/monitoring/volunteer/qapp/qappch3.pdf</w:t>
            </w:r>
          </w:p>
        </w:tc>
      </w:tr>
      <w:tr w:rsidR="00A32E7B" w:rsidRPr="00645089" w:rsidTr="0026292B">
        <w:trPr>
          <w:trHeight w:val="828"/>
        </w:trPr>
        <w:tc>
          <w:tcPr>
            <w:tcW w:w="9576" w:type="dxa"/>
            <w:gridSpan w:val="2"/>
          </w:tcPr>
          <w:p w:rsidR="00A32E7B" w:rsidRPr="00645089" w:rsidRDefault="0060578F" w:rsidP="00F61214">
            <w:pPr>
              <w:rPr>
                <w:rFonts w:cs="Times New Roman"/>
              </w:rPr>
            </w:pPr>
            <w:r w:rsidRPr="00645089">
              <w:rPr>
                <w:rFonts w:cs="Times New Roman"/>
              </w:rPr>
              <w:lastRenderedPageBreak/>
              <w:t xml:space="preserve">Human Health Water Quality Criteria (HHWQC). (November 17, 2015). Retrieved November 24, 2015 from </w:t>
            </w:r>
            <w:hyperlink r:id="rId10" w:history="1">
              <w:r w:rsidRPr="00645089">
                <w:rPr>
                  <w:rStyle w:val="Hyperlink"/>
                  <w:rFonts w:cs="Times New Roman"/>
                </w:rPr>
                <w:t>http://www2.epa.gov/wqc/human-health-water-quality-criteria</w:t>
              </w:r>
            </w:hyperlink>
          </w:p>
        </w:tc>
      </w:tr>
      <w:tr w:rsidR="00A32E7B" w:rsidRPr="00645089" w:rsidTr="0026292B">
        <w:trPr>
          <w:trHeight w:val="828"/>
        </w:trPr>
        <w:tc>
          <w:tcPr>
            <w:tcW w:w="9576" w:type="dxa"/>
            <w:gridSpan w:val="2"/>
          </w:tcPr>
          <w:p w:rsidR="00A32E7B" w:rsidRPr="00645089" w:rsidRDefault="00645089" w:rsidP="00F61214">
            <w:pPr>
              <w:rPr>
                <w:rFonts w:cs="Times New Roman"/>
              </w:rPr>
            </w:pPr>
            <w:r w:rsidRPr="00645089">
              <w:rPr>
                <w:rFonts w:cs="Times New Roman"/>
              </w:rPr>
              <w:t xml:space="preserve">Clean Water Act </w:t>
            </w:r>
            <w:r w:rsidR="007D21ED" w:rsidRPr="00645089">
              <w:rPr>
                <w:rFonts w:cs="Times New Roman"/>
              </w:rPr>
              <w:t>Section</w:t>
            </w:r>
            <w:r w:rsidRPr="00645089">
              <w:rPr>
                <w:rFonts w:cs="Times New Roman"/>
              </w:rPr>
              <w:t xml:space="preserve"> 401: Water Quality Certification. A water quality protection tool for States and Tribes (2010). US EPA. Retrieved November 24, 2015 from </w:t>
            </w:r>
            <w:hyperlink r:id="rId11" w:history="1">
              <w:r w:rsidRPr="00645089">
                <w:rPr>
                  <w:rStyle w:val="Hyperlink"/>
                  <w:rFonts w:cs="Times New Roman"/>
                </w:rPr>
                <w:t>http://water.epa.gov/lawsregs/guidance/cwa/upload/cwa-401-handbook-2010-interim.pdf</w:t>
              </w:r>
            </w:hyperlink>
            <w:r w:rsidRPr="00645089">
              <w:rPr>
                <w:rFonts w:cs="Times New Roman"/>
              </w:rPr>
              <w:t xml:space="preserve"> </w:t>
            </w: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bl>
    <w:p w:rsidR="00A33723" w:rsidRPr="00645089" w:rsidRDefault="00A33723" w:rsidP="00A33723">
      <w:pPr>
        <w:jc w:val="center"/>
      </w:pPr>
    </w:p>
    <w:p w:rsidR="004A28B1" w:rsidRPr="00645089" w:rsidRDefault="004A28B1">
      <w:pPr>
        <w:jc w:val="center"/>
      </w:pPr>
    </w:p>
    <w:sectPr w:rsidR="004A28B1" w:rsidRPr="00645089" w:rsidSect="006809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DF" w:rsidRDefault="001D16DF" w:rsidP="00E508B4">
      <w:pPr>
        <w:spacing w:after="0" w:line="240" w:lineRule="auto"/>
      </w:pPr>
      <w:r>
        <w:separator/>
      </w:r>
    </w:p>
  </w:endnote>
  <w:endnote w:type="continuationSeparator" w:id="0">
    <w:p w:rsidR="001D16DF" w:rsidRDefault="001D16DF" w:rsidP="00E508B4">
      <w:pPr>
        <w:spacing w:after="0" w:line="240" w:lineRule="auto"/>
      </w:pPr>
      <w:r>
        <w:continuationSeparator/>
      </w:r>
    </w:p>
  </w:endnote>
  <w:endnote w:id="1">
    <w:p w:rsidR="00C575F4" w:rsidRDefault="00C575F4">
      <w:pPr>
        <w:pStyle w:val="EndnoteText"/>
      </w:pPr>
      <w:r>
        <w:rPr>
          <w:rStyle w:val="EndnoteReference"/>
        </w:rPr>
        <w:endnoteRef/>
      </w:r>
      <w:r>
        <w:t xml:space="preserve"> </w:t>
      </w:r>
      <w:r w:rsidRPr="0060578F">
        <w:t>http://yosemite.epa.gov/r10/water.nsf/tmdls/cwa+303d+list</w:t>
      </w:r>
    </w:p>
  </w:endnote>
  <w:endnote w:id="2">
    <w:p w:rsidR="00C575F4" w:rsidRDefault="00C575F4">
      <w:pPr>
        <w:pStyle w:val="EndnoteText"/>
      </w:pPr>
      <w:r>
        <w:rPr>
          <w:rStyle w:val="EndnoteReference"/>
        </w:rPr>
        <w:endnoteRef/>
      </w:r>
      <w:r>
        <w:t xml:space="preserve"> </w:t>
      </w:r>
      <w:r w:rsidRPr="0060578F">
        <w:t>http://water.epa.gov/lawsregs/lawsguidance/cwa/tmdl/overview.cfm</w:t>
      </w:r>
    </w:p>
  </w:endnote>
  <w:endnote w:id="3">
    <w:p w:rsidR="00C575F4" w:rsidRDefault="00C575F4">
      <w:pPr>
        <w:pStyle w:val="EndnoteText"/>
      </w:pPr>
      <w:r>
        <w:rPr>
          <w:rStyle w:val="EndnoteReference"/>
        </w:rPr>
        <w:endnoteRef/>
      </w:r>
      <w:r>
        <w:t xml:space="preserve"> </w:t>
      </w:r>
      <w:r w:rsidRPr="00B041D8">
        <w:t>http://www.epa.gov/reg3hscd/risk/eco/faqs/composite.htm</w:t>
      </w:r>
    </w:p>
  </w:endnote>
  <w:endnote w:id="4">
    <w:p w:rsidR="00C575F4" w:rsidRDefault="00C575F4">
      <w:pPr>
        <w:pStyle w:val="EndnoteText"/>
      </w:pPr>
      <w:r>
        <w:rPr>
          <w:rStyle w:val="EndnoteReference"/>
        </w:rPr>
        <w:endnoteRef/>
      </w:r>
      <w:r>
        <w:t xml:space="preserve"> </w:t>
      </w:r>
      <w:r w:rsidRPr="003951E8">
        <w:t>http://www.epa.gov/fem/pdfs/Env_Measurement_Glossary_Final_Jan_2010.pdf</w:t>
      </w:r>
    </w:p>
  </w:endnote>
  <w:endnote w:id="5">
    <w:p w:rsidR="00C575F4" w:rsidRDefault="00C575F4">
      <w:pPr>
        <w:pStyle w:val="EndnoteText"/>
      </w:pPr>
      <w:r>
        <w:rPr>
          <w:rStyle w:val="EndnoteReference"/>
        </w:rPr>
        <w:endnoteRef/>
      </w:r>
      <w:r>
        <w:t xml:space="preserve"> </w:t>
      </w:r>
      <w:r w:rsidRPr="006B5D2C">
        <w:t>http://www.epa.gov/region6/qa/qadevtools/TableContents.pdf</w:t>
      </w:r>
    </w:p>
  </w:endnote>
  <w:endnote w:id="6">
    <w:p w:rsidR="00C575F4" w:rsidRDefault="00C575F4">
      <w:pPr>
        <w:pStyle w:val="EndnoteText"/>
      </w:pPr>
      <w:r>
        <w:rPr>
          <w:rStyle w:val="EndnoteReference"/>
        </w:rPr>
        <w:endnoteRef/>
      </w:r>
      <w:r>
        <w:t xml:space="preserve"> </w:t>
      </w:r>
      <w:r w:rsidRPr="003951E8">
        <w:t>http://www.epa.gov/fem/pdfs/Env_Measurement_Glossary_Final_Jan_2010.pdf</w:t>
      </w:r>
    </w:p>
  </w:endnote>
  <w:endnote w:id="7">
    <w:p w:rsidR="00C575F4" w:rsidRDefault="00C575F4">
      <w:pPr>
        <w:pStyle w:val="EndnoteText"/>
      </w:pPr>
      <w:r>
        <w:rPr>
          <w:rStyle w:val="EndnoteReference"/>
        </w:rPr>
        <w:endnoteRef/>
      </w:r>
      <w:r>
        <w:t xml:space="preserve"> </w:t>
      </w:r>
      <w:r w:rsidRPr="003951E8">
        <w:t>http://www.epa.gov/fem/pdfs/Env_Measurement_Glossary_Final_Jan_2010.pdf</w:t>
      </w:r>
    </w:p>
  </w:endnote>
  <w:endnote w:id="8">
    <w:p w:rsidR="00C575F4" w:rsidRDefault="00C575F4">
      <w:pPr>
        <w:pStyle w:val="EndnoteText"/>
      </w:pPr>
      <w:r>
        <w:rPr>
          <w:rStyle w:val="EndnoteReference"/>
        </w:rPr>
        <w:endnoteRef/>
      </w:r>
      <w:r>
        <w:t xml:space="preserve"> </w:t>
      </w:r>
      <w:r w:rsidRPr="0060578F">
        <w:t>http://www2.epa.gov/wqc/human-health-water-quality-criteria</w:t>
      </w:r>
    </w:p>
  </w:endnote>
  <w:endnote w:id="9">
    <w:p w:rsidR="00C575F4" w:rsidRDefault="00C575F4">
      <w:pPr>
        <w:pStyle w:val="EndnoteText"/>
      </w:pPr>
      <w:r>
        <w:rPr>
          <w:rStyle w:val="EndnoteReference"/>
        </w:rPr>
        <w:endnoteRef/>
      </w:r>
      <w:r>
        <w:t xml:space="preserve"> </w:t>
      </w:r>
      <w:r w:rsidRPr="00745E96">
        <w:t>http://www.epa.gov/superfund/sites/npl/hrsres/fact/docoroc.pdf</w:t>
      </w:r>
    </w:p>
  </w:endnote>
  <w:endnote w:id="10">
    <w:p w:rsidR="00C575F4" w:rsidRDefault="00C575F4" w:rsidP="00B041D8">
      <w:pPr>
        <w:pStyle w:val="EndnoteText"/>
      </w:pPr>
      <w:r>
        <w:rPr>
          <w:rStyle w:val="EndnoteReference"/>
        </w:rPr>
        <w:endnoteRef/>
      </w:r>
      <w:r>
        <w:t xml:space="preserve"> </w:t>
      </w:r>
      <w:r w:rsidRPr="00816C8B">
        <w:t>http://www.epa.gov/epawaste/hazard/testmethods/faq/faqs_qc.htm#Spike</w:t>
      </w:r>
    </w:p>
  </w:endnote>
  <w:endnote w:id="11">
    <w:p w:rsidR="00C575F4" w:rsidRDefault="00C575F4">
      <w:pPr>
        <w:pStyle w:val="EndnoteText"/>
      </w:pPr>
      <w:r>
        <w:rPr>
          <w:rStyle w:val="EndnoteReference"/>
        </w:rPr>
        <w:endnoteRef/>
      </w:r>
      <w:r>
        <w:t xml:space="preserve"> </w:t>
      </w:r>
      <w:r w:rsidRPr="00022F4F">
        <w:t>http://water.epa.gov/lawsregs/lawsguidance/cwa/tmdl/glossary.cfm#l</w:t>
      </w:r>
    </w:p>
  </w:endnote>
  <w:endnote w:id="12">
    <w:p w:rsidR="00C575F4" w:rsidRDefault="00C575F4">
      <w:pPr>
        <w:pStyle w:val="EndnoteText"/>
      </w:pPr>
      <w:r>
        <w:rPr>
          <w:rStyle w:val="EndnoteReference"/>
        </w:rPr>
        <w:endnoteRef/>
      </w:r>
      <w:r>
        <w:t xml:space="preserve"> </w:t>
      </w:r>
      <w:r w:rsidRPr="00745E96">
        <w:t>http://www.epa.gov/superfund/sites/npl/hrsres/fact/docoroc.pdf</w:t>
      </w:r>
    </w:p>
  </w:endnote>
  <w:endnote w:id="13">
    <w:p w:rsidR="00C575F4" w:rsidRDefault="00C575F4">
      <w:pPr>
        <w:pStyle w:val="EndnoteText"/>
      </w:pPr>
      <w:r>
        <w:rPr>
          <w:rStyle w:val="EndnoteReference"/>
        </w:rPr>
        <w:endnoteRef/>
      </w:r>
      <w:r>
        <w:t xml:space="preserve"> </w:t>
      </w:r>
      <w:r w:rsidRPr="00745E96">
        <w:t>http://www.epa.gov/superfund/sites/npl/hrsres/fact/docoroc.pdf</w:t>
      </w:r>
    </w:p>
  </w:endnote>
  <w:endnote w:id="14">
    <w:p w:rsidR="00C575F4" w:rsidRDefault="00C575F4">
      <w:pPr>
        <w:pStyle w:val="EndnoteText"/>
      </w:pPr>
      <w:r>
        <w:rPr>
          <w:rStyle w:val="EndnoteReference"/>
        </w:rPr>
        <w:endnoteRef/>
      </w:r>
      <w:r>
        <w:t xml:space="preserve"> </w:t>
      </w:r>
      <w:r w:rsidRPr="00022F4F">
        <w:t>http://www.epa.gov/superfund/sites/npl/hrsres/fact/docoroc.pdf</w:t>
      </w:r>
    </w:p>
  </w:endnote>
  <w:endnote w:id="15">
    <w:p w:rsidR="00C575F4" w:rsidRDefault="00C575F4">
      <w:pPr>
        <w:pStyle w:val="EndnoteText"/>
      </w:pPr>
      <w:r>
        <w:rPr>
          <w:rStyle w:val="EndnoteReference"/>
        </w:rPr>
        <w:endnoteRef/>
      </w:r>
      <w:r>
        <w:t xml:space="preserve"> </w:t>
      </w:r>
      <w:r w:rsidRPr="00D44B77">
        <w:t>http://www.epa.gov/owow/monitoring/volunteer/qapp/qappch3.pdf</w:t>
      </w:r>
    </w:p>
  </w:endnote>
  <w:endnote w:id="16">
    <w:p w:rsidR="00C575F4" w:rsidRDefault="00C575F4">
      <w:pPr>
        <w:pStyle w:val="EndnoteText"/>
      </w:pPr>
      <w:r>
        <w:rPr>
          <w:rStyle w:val="EndnoteReference"/>
        </w:rPr>
        <w:endnoteRef/>
      </w:r>
      <w:r>
        <w:t xml:space="preserve"> </w:t>
      </w:r>
      <w:r w:rsidRPr="004E3FD3">
        <w:t>http://www2.epa.gov/laws-regulations/summary-toxic-substances-control-act</w:t>
      </w:r>
    </w:p>
  </w:endnote>
  <w:endnote w:id="17">
    <w:p w:rsidR="00C575F4" w:rsidRDefault="00C575F4">
      <w:pPr>
        <w:pStyle w:val="EndnoteText"/>
      </w:pPr>
      <w:r>
        <w:rPr>
          <w:rStyle w:val="EndnoteReference"/>
        </w:rPr>
        <w:endnoteRef/>
      </w:r>
      <w:r>
        <w:t xml:space="preserve"> </w:t>
      </w:r>
      <w:r w:rsidRPr="00D63220">
        <w:t>http://www.epw.senate.gov/tsca.pdf</w:t>
      </w:r>
    </w:p>
  </w:endnote>
  <w:endnote w:id="18">
    <w:p w:rsidR="00C575F4" w:rsidRDefault="00C575F4">
      <w:pPr>
        <w:pStyle w:val="EndnoteText"/>
      </w:pPr>
      <w:r>
        <w:rPr>
          <w:rStyle w:val="EndnoteReference"/>
        </w:rPr>
        <w:endnoteRef/>
      </w:r>
      <w:r>
        <w:t xml:space="preserve"> </w:t>
      </w:r>
      <w:r w:rsidRPr="00745E96">
        <w:t>http://www.epa.gov/superfund/sites/npl/hrsres/fact/docoroc.pdf</w:t>
      </w:r>
    </w:p>
  </w:endnote>
  <w:endnote w:id="19">
    <w:p w:rsidR="00C575F4" w:rsidRDefault="00C575F4">
      <w:pPr>
        <w:pStyle w:val="EndnoteText"/>
      </w:pPr>
      <w:r>
        <w:rPr>
          <w:rStyle w:val="EndnoteReference"/>
        </w:rPr>
        <w:endnoteRef/>
      </w:r>
      <w:r>
        <w:t xml:space="preserve"> </w:t>
      </w:r>
      <w:r w:rsidRPr="00966064">
        <w:t>http://water.epa.gov/lawsregs/lawsguidance/cwa/tmdl/glossary.cfm#l</w:t>
      </w:r>
    </w:p>
  </w:endnote>
  <w:endnote w:id="20">
    <w:p w:rsidR="00C575F4" w:rsidRDefault="00C575F4">
      <w:pPr>
        <w:pStyle w:val="EndnoteText"/>
      </w:pPr>
      <w:r>
        <w:rPr>
          <w:rStyle w:val="EndnoteReference"/>
        </w:rPr>
        <w:endnoteRef/>
      </w:r>
      <w:r>
        <w:t xml:space="preserve"> </w:t>
      </w:r>
      <w:r w:rsidRPr="00022F4F">
        <w:t>http://www.epa.gov/superfund/sites/npl/hrsres/fact/docoroc.pdf</w:t>
      </w:r>
    </w:p>
  </w:endnote>
  <w:endnote w:id="21">
    <w:p w:rsidR="00C575F4" w:rsidRDefault="00C575F4">
      <w:pPr>
        <w:pStyle w:val="EndnoteText"/>
      </w:pPr>
      <w:r>
        <w:rPr>
          <w:rStyle w:val="EndnoteReference"/>
        </w:rPr>
        <w:endnoteRef/>
      </w:r>
      <w:r>
        <w:t xml:space="preserve"> </w:t>
      </w:r>
      <w:r w:rsidRPr="00645089">
        <w:t>http://water.epa.gov/lawsregs/guidance/cwa/waterquality_index.cfm</w:t>
      </w:r>
    </w:p>
  </w:endnote>
  <w:endnote w:id="22">
    <w:p w:rsidR="00C575F4" w:rsidRDefault="00C575F4">
      <w:pPr>
        <w:pStyle w:val="EndnoteText"/>
      </w:pPr>
      <w:r>
        <w:rPr>
          <w:rStyle w:val="EndnoteReference"/>
        </w:rPr>
        <w:endnoteRef/>
      </w:r>
      <w:r>
        <w:t xml:space="preserve"> </w:t>
      </w:r>
      <w:r w:rsidRPr="00645089">
        <w:t>http://water.epa.gov/lawsregs/guidance/cwa/upload/cwa-401-handbook-2010-interim.pdf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75417"/>
      <w:docPartObj>
        <w:docPartGallery w:val="Page Numbers (Bottom of Page)"/>
        <w:docPartUnique/>
      </w:docPartObj>
    </w:sdtPr>
    <w:sdtEndPr/>
    <w:sdtContent>
      <w:p w:rsidR="00C575F4" w:rsidRDefault="00C575F4">
        <w:pPr>
          <w:pStyle w:val="Footer"/>
          <w:jc w:val="right"/>
        </w:pPr>
        <w:r>
          <w:t xml:space="preserve">Page | </w:t>
        </w:r>
        <w:r w:rsidR="001D16DF">
          <w:fldChar w:fldCharType="begin"/>
        </w:r>
        <w:r w:rsidR="001D16DF">
          <w:instrText xml:space="preserve"> PAGE   \* MERGEFORMAT </w:instrText>
        </w:r>
        <w:r w:rsidR="001D16DF">
          <w:fldChar w:fldCharType="separate"/>
        </w:r>
        <w:r w:rsidR="005901D5">
          <w:rPr>
            <w:noProof/>
          </w:rPr>
          <w:t>4</w:t>
        </w:r>
        <w:r w:rsidR="001D16DF">
          <w:rPr>
            <w:noProof/>
          </w:rPr>
          <w:fldChar w:fldCharType="end"/>
        </w:r>
        <w:r>
          <w:t xml:space="preserve"> </w:t>
        </w:r>
      </w:p>
    </w:sdtContent>
  </w:sdt>
  <w:p w:rsidR="00C575F4" w:rsidRDefault="00C575F4">
    <w:pPr>
      <w:pStyle w:val="Footer"/>
    </w:pPr>
    <w:r>
      <w:t>Glossary Revised 11.24.2015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DF" w:rsidRDefault="001D16DF" w:rsidP="00E508B4">
      <w:pPr>
        <w:spacing w:after="0" w:line="240" w:lineRule="auto"/>
      </w:pPr>
      <w:r>
        <w:separator/>
      </w:r>
    </w:p>
  </w:footnote>
  <w:footnote w:type="continuationSeparator" w:id="0">
    <w:p w:rsidR="001D16DF" w:rsidRDefault="001D16DF" w:rsidP="00E50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C6"/>
    <w:rsid w:val="00022F4F"/>
    <w:rsid w:val="00047DBD"/>
    <w:rsid w:val="000619A6"/>
    <w:rsid w:val="000837AF"/>
    <w:rsid w:val="00084247"/>
    <w:rsid w:val="0008707B"/>
    <w:rsid w:val="000D5554"/>
    <w:rsid w:val="000E21F9"/>
    <w:rsid w:val="000F48A2"/>
    <w:rsid w:val="000F6141"/>
    <w:rsid w:val="000F63E3"/>
    <w:rsid w:val="0012238B"/>
    <w:rsid w:val="00143513"/>
    <w:rsid w:val="0017247E"/>
    <w:rsid w:val="00193680"/>
    <w:rsid w:val="001A287F"/>
    <w:rsid w:val="001A45C0"/>
    <w:rsid w:val="001A68F5"/>
    <w:rsid w:val="001A6FD4"/>
    <w:rsid w:val="001D16DF"/>
    <w:rsid w:val="0023502A"/>
    <w:rsid w:val="002365DF"/>
    <w:rsid w:val="00255E56"/>
    <w:rsid w:val="002628CC"/>
    <w:rsid w:val="0026292B"/>
    <w:rsid w:val="0027538D"/>
    <w:rsid w:val="002B2D9B"/>
    <w:rsid w:val="002D5CD9"/>
    <w:rsid w:val="00314A37"/>
    <w:rsid w:val="003153B0"/>
    <w:rsid w:val="00326B2A"/>
    <w:rsid w:val="00326D21"/>
    <w:rsid w:val="00340D8F"/>
    <w:rsid w:val="00380E40"/>
    <w:rsid w:val="00381288"/>
    <w:rsid w:val="003951E8"/>
    <w:rsid w:val="003E7F5A"/>
    <w:rsid w:val="003F2953"/>
    <w:rsid w:val="003F518D"/>
    <w:rsid w:val="004064C7"/>
    <w:rsid w:val="004568BA"/>
    <w:rsid w:val="0048168C"/>
    <w:rsid w:val="004A28B1"/>
    <w:rsid w:val="004A517C"/>
    <w:rsid w:val="004E3FD3"/>
    <w:rsid w:val="004F10D2"/>
    <w:rsid w:val="00505BB5"/>
    <w:rsid w:val="00513334"/>
    <w:rsid w:val="005303E9"/>
    <w:rsid w:val="00576756"/>
    <w:rsid w:val="005901D5"/>
    <w:rsid w:val="005B2C42"/>
    <w:rsid w:val="005D5AE1"/>
    <w:rsid w:val="005F44F7"/>
    <w:rsid w:val="0060038E"/>
    <w:rsid w:val="0060578F"/>
    <w:rsid w:val="006116B4"/>
    <w:rsid w:val="00635397"/>
    <w:rsid w:val="00645089"/>
    <w:rsid w:val="00670565"/>
    <w:rsid w:val="00680993"/>
    <w:rsid w:val="00697362"/>
    <w:rsid w:val="006B5D2C"/>
    <w:rsid w:val="006D27A9"/>
    <w:rsid w:val="006D28F9"/>
    <w:rsid w:val="0070717B"/>
    <w:rsid w:val="007150B9"/>
    <w:rsid w:val="0072424C"/>
    <w:rsid w:val="00725B4A"/>
    <w:rsid w:val="00745E96"/>
    <w:rsid w:val="00764ECE"/>
    <w:rsid w:val="007B7758"/>
    <w:rsid w:val="007D14CC"/>
    <w:rsid w:val="007D21ED"/>
    <w:rsid w:val="008034D6"/>
    <w:rsid w:val="00816C8B"/>
    <w:rsid w:val="0081764B"/>
    <w:rsid w:val="0083274F"/>
    <w:rsid w:val="00887B13"/>
    <w:rsid w:val="00895584"/>
    <w:rsid w:val="008B2D40"/>
    <w:rsid w:val="008D0EC9"/>
    <w:rsid w:val="008E04CC"/>
    <w:rsid w:val="008E2EE1"/>
    <w:rsid w:val="009254D7"/>
    <w:rsid w:val="00931D1A"/>
    <w:rsid w:val="00936736"/>
    <w:rsid w:val="00950893"/>
    <w:rsid w:val="00966064"/>
    <w:rsid w:val="0097200E"/>
    <w:rsid w:val="00982219"/>
    <w:rsid w:val="0098492E"/>
    <w:rsid w:val="00996415"/>
    <w:rsid w:val="00A32E7B"/>
    <w:rsid w:val="00A33723"/>
    <w:rsid w:val="00A3747B"/>
    <w:rsid w:val="00A40FBF"/>
    <w:rsid w:val="00A6618D"/>
    <w:rsid w:val="00A94FBB"/>
    <w:rsid w:val="00AB0183"/>
    <w:rsid w:val="00AC21B2"/>
    <w:rsid w:val="00AF6ADC"/>
    <w:rsid w:val="00B041D8"/>
    <w:rsid w:val="00B2520F"/>
    <w:rsid w:val="00B25CA5"/>
    <w:rsid w:val="00B367C9"/>
    <w:rsid w:val="00B469C8"/>
    <w:rsid w:val="00B51904"/>
    <w:rsid w:val="00B90E8B"/>
    <w:rsid w:val="00B92BC6"/>
    <w:rsid w:val="00B960D3"/>
    <w:rsid w:val="00BC2DFC"/>
    <w:rsid w:val="00BD3555"/>
    <w:rsid w:val="00BF76CC"/>
    <w:rsid w:val="00C022D7"/>
    <w:rsid w:val="00C05291"/>
    <w:rsid w:val="00C13618"/>
    <w:rsid w:val="00C34D51"/>
    <w:rsid w:val="00C43C0A"/>
    <w:rsid w:val="00C575F4"/>
    <w:rsid w:val="00C6793D"/>
    <w:rsid w:val="00C73632"/>
    <w:rsid w:val="00C80847"/>
    <w:rsid w:val="00CB7E59"/>
    <w:rsid w:val="00D049B6"/>
    <w:rsid w:val="00D2697C"/>
    <w:rsid w:val="00D318ED"/>
    <w:rsid w:val="00D331DD"/>
    <w:rsid w:val="00D44B77"/>
    <w:rsid w:val="00D63220"/>
    <w:rsid w:val="00D64E16"/>
    <w:rsid w:val="00DD2CA0"/>
    <w:rsid w:val="00E508B4"/>
    <w:rsid w:val="00E545A2"/>
    <w:rsid w:val="00E91022"/>
    <w:rsid w:val="00E951AD"/>
    <w:rsid w:val="00EF18D4"/>
    <w:rsid w:val="00EF5F8B"/>
    <w:rsid w:val="00F12B40"/>
    <w:rsid w:val="00F2396D"/>
    <w:rsid w:val="00F61214"/>
    <w:rsid w:val="00F633D0"/>
    <w:rsid w:val="00FD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5EA85-E123-4FBD-B721-255B9FF1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table" w:styleId="TableGrid">
    <w:name w:val="Table Grid"/>
    <w:basedOn w:val="TableNormal"/>
    <w:uiPriority w:val="59"/>
    <w:rsid w:val="00A3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508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8B4"/>
  </w:style>
  <w:style w:type="paragraph" w:styleId="Footer">
    <w:name w:val="footer"/>
    <w:basedOn w:val="Normal"/>
    <w:link w:val="FooterChar"/>
    <w:uiPriority w:val="99"/>
    <w:unhideWhenUsed/>
    <w:rsid w:val="00E50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8B4"/>
  </w:style>
  <w:style w:type="character" w:styleId="Hyperlink">
    <w:name w:val="Hyperlink"/>
    <w:basedOn w:val="DefaultParagraphFont"/>
    <w:uiPriority w:val="99"/>
    <w:unhideWhenUsed/>
    <w:rsid w:val="00887B13"/>
    <w:rPr>
      <w:color w:val="0000FF" w:themeColor="hyperlink"/>
      <w:u w:val="single"/>
    </w:rPr>
  </w:style>
  <w:style w:type="character" w:styleId="CommentReference">
    <w:name w:val="annotation reference"/>
    <w:basedOn w:val="DefaultParagraphFont"/>
    <w:uiPriority w:val="99"/>
    <w:semiHidden/>
    <w:unhideWhenUsed/>
    <w:rsid w:val="000F63E3"/>
    <w:rPr>
      <w:sz w:val="16"/>
      <w:szCs w:val="16"/>
    </w:rPr>
  </w:style>
  <w:style w:type="paragraph" w:styleId="CommentText">
    <w:name w:val="annotation text"/>
    <w:basedOn w:val="Normal"/>
    <w:link w:val="CommentTextChar"/>
    <w:uiPriority w:val="99"/>
    <w:semiHidden/>
    <w:unhideWhenUsed/>
    <w:rsid w:val="000F63E3"/>
    <w:pPr>
      <w:spacing w:line="240" w:lineRule="auto"/>
    </w:pPr>
    <w:rPr>
      <w:sz w:val="20"/>
      <w:szCs w:val="20"/>
    </w:rPr>
  </w:style>
  <w:style w:type="character" w:customStyle="1" w:styleId="CommentTextChar">
    <w:name w:val="Comment Text Char"/>
    <w:basedOn w:val="DefaultParagraphFont"/>
    <w:link w:val="CommentText"/>
    <w:uiPriority w:val="99"/>
    <w:semiHidden/>
    <w:rsid w:val="000F63E3"/>
    <w:rPr>
      <w:sz w:val="20"/>
      <w:szCs w:val="20"/>
    </w:rPr>
  </w:style>
  <w:style w:type="paragraph" w:styleId="CommentSubject">
    <w:name w:val="annotation subject"/>
    <w:basedOn w:val="CommentText"/>
    <w:next w:val="CommentText"/>
    <w:link w:val="CommentSubjectChar"/>
    <w:uiPriority w:val="99"/>
    <w:semiHidden/>
    <w:unhideWhenUsed/>
    <w:rsid w:val="000F63E3"/>
    <w:rPr>
      <w:b/>
      <w:bCs/>
    </w:rPr>
  </w:style>
  <w:style w:type="character" w:customStyle="1" w:styleId="CommentSubjectChar">
    <w:name w:val="Comment Subject Char"/>
    <w:basedOn w:val="CommentTextChar"/>
    <w:link w:val="CommentSubject"/>
    <w:uiPriority w:val="99"/>
    <w:semiHidden/>
    <w:rsid w:val="000F63E3"/>
    <w:rPr>
      <w:b/>
      <w:bCs/>
      <w:sz w:val="20"/>
      <w:szCs w:val="20"/>
    </w:rPr>
  </w:style>
  <w:style w:type="paragraph" w:styleId="BalloonText">
    <w:name w:val="Balloon Text"/>
    <w:basedOn w:val="Normal"/>
    <w:link w:val="BalloonTextChar"/>
    <w:uiPriority w:val="99"/>
    <w:semiHidden/>
    <w:unhideWhenUsed/>
    <w:rsid w:val="000F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E3"/>
    <w:rPr>
      <w:rFonts w:ascii="Tahoma" w:hAnsi="Tahoma" w:cs="Tahoma"/>
      <w:sz w:val="16"/>
      <w:szCs w:val="16"/>
    </w:rPr>
  </w:style>
  <w:style w:type="paragraph" w:styleId="EndnoteText">
    <w:name w:val="endnote text"/>
    <w:basedOn w:val="Normal"/>
    <w:link w:val="EndnoteTextChar"/>
    <w:uiPriority w:val="99"/>
    <w:semiHidden/>
    <w:unhideWhenUsed/>
    <w:rsid w:val="00816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6C8B"/>
    <w:rPr>
      <w:sz w:val="20"/>
      <w:szCs w:val="20"/>
    </w:rPr>
  </w:style>
  <w:style w:type="character" w:styleId="EndnoteReference">
    <w:name w:val="endnote reference"/>
    <w:basedOn w:val="DefaultParagraphFont"/>
    <w:uiPriority w:val="99"/>
    <w:semiHidden/>
    <w:unhideWhenUsed/>
    <w:rsid w:val="00816C8B"/>
    <w:rPr>
      <w:vertAlign w:val="superscript"/>
    </w:rPr>
  </w:style>
  <w:style w:type="paragraph" w:customStyle="1" w:styleId="Default">
    <w:name w:val="Default"/>
    <w:rsid w:val="003951E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F5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063755">
      <w:bodyDiv w:val="1"/>
      <w:marLeft w:val="0"/>
      <w:marRight w:val="5"/>
      <w:marTop w:val="0"/>
      <w:marBottom w:val="686"/>
      <w:divBdr>
        <w:top w:val="none" w:sz="0" w:space="0" w:color="auto"/>
        <w:left w:val="none" w:sz="0" w:space="0" w:color="auto"/>
        <w:bottom w:val="none" w:sz="0" w:space="0" w:color="auto"/>
        <w:right w:val="none" w:sz="0" w:space="0" w:color="auto"/>
      </w:divBdr>
      <w:divsChild>
        <w:div w:id="1258248601">
          <w:marLeft w:val="2589"/>
          <w:marRight w:val="0"/>
          <w:marTop w:val="514"/>
          <w:marBottom w:val="3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QUALITY/qs-docs/g5-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epawaste/hazard/tsd/pcbs/pubs/congener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ater.epa.gov/lawsregs/guidance/cwa/upload/cwa-401-handbook-2010-interim.pdf" TargetMode="External"/><Relationship Id="rId5" Type="http://schemas.openxmlformats.org/officeDocument/2006/relationships/footnotes" Target="footnotes.xml"/><Relationship Id="rId10" Type="http://schemas.openxmlformats.org/officeDocument/2006/relationships/hyperlink" Target="http://www2.epa.gov/wqc/human-health-water-quality-criteria" TargetMode="External"/><Relationship Id="rId4" Type="http://schemas.openxmlformats.org/officeDocument/2006/relationships/webSettings" Target="webSettings.xml"/><Relationship Id="rId9" Type="http://schemas.openxmlformats.org/officeDocument/2006/relationships/hyperlink" Target="http://www.epa.gov/fem/pdfs/Env_Measurement_Glossary_Final_Jan_20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4538B-85B5-4199-AEA4-10B509F1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2</cp:revision>
  <dcterms:created xsi:type="dcterms:W3CDTF">2016-05-09T15:57:00Z</dcterms:created>
  <dcterms:modified xsi:type="dcterms:W3CDTF">2016-05-09T15:57:00Z</dcterms:modified>
</cp:coreProperties>
</file>