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5" w:rsidRPr="00B73F5E" w:rsidRDefault="002650E5" w:rsidP="002650E5">
      <w:pPr>
        <w:rPr>
          <w:rFonts w:ascii="Garamond" w:hAnsi="Garamond"/>
        </w:rPr>
      </w:pPr>
    </w:p>
    <w:p w:rsidR="00290250" w:rsidRDefault="00F820E4" w:rsidP="00F820E4">
      <w:pPr>
        <w:pStyle w:val="Heading1"/>
        <w:jc w:val="right"/>
        <w:rPr>
          <w:rFonts w:ascii="Calibri" w:hAnsi="Calibri" w:cs="Calibri"/>
          <w:szCs w:val="28"/>
        </w:rPr>
      </w:pPr>
      <w:r w:rsidRPr="00131E72">
        <w:rPr>
          <w:rFonts w:ascii="Calibri" w:hAnsi="Calibri" w:cs="Calibri"/>
          <w:szCs w:val="28"/>
        </w:rPr>
        <w:t>Spokane River Regional Toxics Task Force</w:t>
      </w:r>
    </w:p>
    <w:p w:rsidR="00F76D9A" w:rsidRPr="00F76D9A" w:rsidRDefault="00F76D9A" w:rsidP="00F76D9A">
      <w:r>
        <w:tab/>
      </w:r>
      <w:r>
        <w:tab/>
      </w:r>
      <w:r>
        <w:tab/>
      </w:r>
      <w:r>
        <w:tab/>
      </w:r>
      <w:r>
        <w:tab/>
      </w:r>
      <w:r>
        <w:tab/>
      </w:r>
      <w:r w:rsidR="00E85F02">
        <w:tab/>
        <w:t xml:space="preserve"> </w:t>
      </w:r>
      <w:r w:rsidR="002765C4">
        <w:t xml:space="preserve">   </w:t>
      </w:r>
      <w:r>
        <w:t>Q</w:t>
      </w:r>
      <w:r w:rsidR="005B7A1F">
        <w:t>uarterly Report (</w:t>
      </w:r>
      <w:r w:rsidR="002765C4">
        <w:t>10</w:t>
      </w:r>
      <w:r w:rsidR="00932AB6">
        <w:t xml:space="preserve">/1/14 – </w:t>
      </w:r>
      <w:r w:rsidR="002765C4">
        <w:t>12</w:t>
      </w:r>
      <w:r w:rsidR="00500115">
        <w:t>/3</w:t>
      </w:r>
      <w:r w:rsidR="002765C4">
        <w:t>1</w:t>
      </w:r>
      <w:r w:rsidR="001F7A88">
        <w:t>/14</w:t>
      </w:r>
      <w:r w:rsidR="006F309E">
        <w:t>)</w:t>
      </w:r>
    </w:p>
    <w:p w:rsidR="0018407D" w:rsidRPr="00B73F5E" w:rsidRDefault="0018407D" w:rsidP="0018407D">
      <w:pPr>
        <w:rPr>
          <w:rFonts w:ascii="Garamond" w:hAnsi="Garamond"/>
        </w:rPr>
      </w:pPr>
    </w:p>
    <w:p w:rsidR="0022317B" w:rsidRPr="00F820E4" w:rsidRDefault="0022317B">
      <w:pPr>
        <w:rPr>
          <w:rFonts w:ascii="Garamond" w:hAnsi="Garamond"/>
        </w:rPr>
      </w:pPr>
      <w:r w:rsidRPr="00B73F5E">
        <w:rPr>
          <w:rFonts w:ascii="Garamond" w:hAnsi="Garamond"/>
          <w:b/>
        </w:rPr>
        <w:t>Project Staff:</w:t>
      </w:r>
      <w:r w:rsidR="009323D9">
        <w:rPr>
          <w:rFonts w:ascii="Garamond" w:hAnsi="Garamond"/>
        </w:rPr>
        <w:t xml:space="preserve"> Chris Page</w:t>
      </w:r>
      <w:r w:rsidR="00D41EFC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Facilitator;</w:t>
      </w:r>
      <w:r w:rsidR="00D41EFC">
        <w:rPr>
          <w:rFonts w:ascii="Garamond" w:hAnsi="Garamond"/>
        </w:rPr>
        <w:t xml:space="preserve"> </w:t>
      </w:r>
      <w:r w:rsidR="00C72017">
        <w:rPr>
          <w:rFonts w:ascii="Garamond" w:hAnsi="Garamond"/>
        </w:rPr>
        <w:t>Kara Whitman</w:t>
      </w:r>
      <w:r w:rsidR="00121B7E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Project Coordinator;</w:t>
      </w:r>
      <w:r w:rsidR="00121B7E">
        <w:rPr>
          <w:rFonts w:ascii="Garamond" w:hAnsi="Garamond"/>
        </w:rPr>
        <w:t xml:space="preserve"> Michael Kern,</w:t>
      </w:r>
      <w:r w:rsidR="00D70646">
        <w:rPr>
          <w:rFonts w:ascii="Garamond" w:hAnsi="Garamond"/>
        </w:rPr>
        <w:t xml:space="preserve"> Strategic Advisor;</w:t>
      </w:r>
      <w:r w:rsidR="00121B7E">
        <w:rPr>
          <w:rFonts w:ascii="Garamond" w:hAnsi="Garamond"/>
        </w:rPr>
        <w:t xml:space="preserve"> Cheryl Rajcich</w:t>
      </w:r>
      <w:r w:rsidR="00D70646">
        <w:rPr>
          <w:rFonts w:ascii="Garamond" w:hAnsi="Garamond"/>
        </w:rPr>
        <w:t>, Budget Manager</w:t>
      </w:r>
      <w:r w:rsidR="00871107">
        <w:rPr>
          <w:rFonts w:ascii="Garamond" w:hAnsi="Garamond"/>
        </w:rPr>
        <w:t xml:space="preserve"> </w:t>
      </w:r>
    </w:p>
    <w:p w:rsidR="00F820E4" w:rsidRPr="00B73F5E" w:rsidRDefault="00F820E4">
      <w:pPr>
        <w:rPr>
          <w:rFonts w:ascii="Garamond" w:hAnsi="Garamond"/>
        </w:rPr>
      </w:pPr>
    </w:p>
    <w:p w:rsidR="0018407D" w:rsidRPr="00B73F5E" w:rsidRDefault="0022317B">
      <w:pPr>
        <w:rPr>
          <w:rFonts w:ascii="Garamond" w:hAnsi="Garamond"/>
          <w:b/>
        </w:rPr>
      </w:pPr>
      <w:r w:rsidRPr="00B73F5E">
        <w:rPr>
          <w:rFonts w:ascii="Garamond" w:hAnsi="Garamond"/>
          <w:b/>
        </w:rPr>
        <w:t xml:space="preserve">Project Purpose: </w:t>
      </w:r>
      <w:r w:rsidR="00D75A1C">
        <w:rPr>
          <w:rFonts w:ascii="Garamond" w:hAnsi="Garamond"/>
        </w:rPr>
        <w:t>The Spokane River Regional Toxics Task Force (SRRTTF) is a</w:t>
      </w:r>
      <w:r w:rsidR="00F820E4">
        <w:rPr>
          <w:rFonts w:ascii="Garamond" w:hAnsi="Garamond"/>
        </w:rPr>
        <w:t xml:space="preserve"> collaborative group of governmental agencies, private industries, environmental organizations</w:t>
      </w:r>
      <w:r w:rsidR="00D507CC">
        <w:rPr>
          <w:rFonts w:ascii="Garamond" w:hAnsi="Garamond"/>
        </w:rPr>
        <w:t>, and interested parties</w:t>
      </w:r>
      <w:r w:rsidR="00F820E4">
        <w:rPr>
          <w:rFonts w:ascii="Garamond" w:hAnsi="Garamond"/>
        </w:rPr>
        <w:t xml:space="preserve"> </w:t>
      </w:r>
      <w:r w:rsidR="00BD3501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Default="007963C2" w:rsidP="00F820E4">
      <w:pPr>
        <w:spacing w:after="120"/>
        <w:rPr>
          <w:rFonts w:ascii="Garamond" w:hAnsi="Garamond"/>
          <w:b/>
        </w:rPr>
      </w:pPr>
    </w:p>
    <w:p w:rsidR="00E85F02" w:rsidRDefault="002B4E3C" w:rsidP="00F820E4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Q</w:t>
      </w:r>
      <w:r w:rsidR="00AF4F31">
        <w:rPr>
          <w:rFonts w:ascii="Garamond" w:hAnsi="Garamond"/>
          <w:b/>
        </w:rPr>
        <w:t>1</w:t>
      </w:r>
      <w:r w:rsidR="003F4F96">
        <w:rPr>
          <w:rFonts w:ascii="Garamond" w:hAnsi="Garamond"/>
          <w:b/>
        </w:rPr>
        <w:t xml:space="preserve"> Meeting Schedule</w:t>
      </w:r>
      <w:r w:rsidR="00290250" w:rsidRPr="00B73F5E">
        <w:rPr>
          <w:rFonts w:ascii="Garamond" w:hAnsi="Garamond"/>
          <w:b/>
        </w:rPr>
        <w:t>:</w:t>
      </w:r>
    </w:p>
    <w:tbl>
      <w:tblPr>
        <w:tblW w:w="8865" w:type="dxa"/>
        <w:jc w:val="center"/>
        <w:tblLook w:val="04A0"/>
      </w:tblPr>
      <w:tblGrid>
        <w:gridCol w:w="380"/>
        <w:gridCol w:w="580"/>
        <w:gridCol w:w="960"/>
        <w:gridCol w:w="1400"/>
        <w:gridCol w:w="498"/>
        <w:gridCol w:w="434"/>
        <w:gridCol w:w="440"/>
        <w:gridCol w:w="266"/>
        <w:gridCol w:w="434"/>
        <w:gridCol w:w="6"/>
        <w:gridCol w:w="434"/>
        <w:gridCol w:w="440"/>
        <w:gridCol w:w="266"/>
        <w:gridCol w:w="434"/>
        <w:gridCol w:w="691"/>
        <w:gridCol w:w="482"/>
        <w:gridCol w:w="720"/>
      </w:tblGrid>
      <w:tr w:rsidR="002918B8" w:rsidRPr="002918B8" w:rsidTr="002918B8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1:Z16"/>
            <w:bookmarkStart w:id="1" w:name="RANGE!A11:AD15"/>
            <w:bookmarkEnd w:id="0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color w:val="FFFFFF"/>
                <w:sz w:val="22"/>
                <w:szCs w:val="22"/>
              </w:rPr>
              <w:t>Oct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color w:val="FFFFFF"/>
                <w:sz w:val="22"/>
                <w:szCs w:val="22"/>
              </w:rPr>
              <w:t>Nov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color w:val="FFFFFF"/>
                <w:sz w:val="22"/>
                <w:szCs w:val="22"/>
              </w:rPr>
              <w:t>Dec</w:t>
            </w:r>
          </w:p>
        </w:tc>
      </w:tr>
      <w:tr w:rsidR="002918B8" w:rsidRPr="002918B8" w:rsidTr="002918B8">
        <w:trPr>
          <w:trHeight w:val="300"/>
          <w:jc w:val="center"/>
        </w:trPr>
        <w:tc>
          <w:tcPr>
            <w:tcW w:w="3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918B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Task Force Meetings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MOA</w:t>
            </w:r>
          </w:p>
        </w:tc>
      </w:tr>
      <w:tr w:rsidR="002918B8" w:rsidRPr="002918B8" w:rsidTr="002918B8">
        <w:trPr>
          <w:trHeight w:val="300"/>
          <w:jc w:val="center"/>
        </w:trPr>
        <w:tc>
          <w:tcPr>
            <w:tcW w:w="33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18</w:t>
            </w:r>
          </w:p>
        </w:tc>
      </w:tr>
      <w:tr w:rsidR="002918B8" w:rsidRPr="002918B8" w:rsidTr="002918B8">
        <w:trPr>
          <w:trHeight w:val="300"/>
          <w:jc w:val="center"/>
        </w:trPr>
        <w:tc>
          <w:tcPr>
            <w:tcW w:w="3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918B8" w:rsidRPr="002918B8" w:rsidTr="002918B8">
        <w:trPr>
          <w:trHeight w:val="300"/>
          <w:jc w:val="center"/>
        </w:trPr>
        <w:tc>
          <w:tcPr>
            <w:tcW w:w="3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918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8B8" w:rsidRPr="002918B8" w:rsidRDefault="002918B8" w:rsidP="00291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1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3F4F96" w:rsidRPr="003F4F96" w:rsidRDefault="001E2064" w:rsidP="003F4F96">
      <w:pPr>
        <w:spacing w:after="120"/>
        <w:jc w:val="center"/>
        <w:rPr>
          <w:rFonts w:ascii="Garamond" w:hAnsi="Garamond"/>
        </w:rPr>
      </w:pPr>
      <w:r w:rsidRPr="001E2064">
        <w:t xml:space="preserve"> </w:t>
      </w:r>
    </w:p>
    <w:p w:rsidR="00FE0CB8" w:rsidRPr="00B73F5E" w:rsidRDefault="00FE0CB8">
      <w:pPr>
        <w:rPr>
          <w:rFonts w:ascii="Garamond" w:hAnsi="Garamond"/>
          <w:b/>
          <w:bCs/>
        </w:rPr>
      </w:pPr>
    </w:p>
    <w:p w:rsidR="00085CE1" w:rsidRPr="00B73F5E" w:rsidRDefault="00F820E4" w:rsidP="007D7EDE">
      <w:pPr>
        <w:rPr>
          <w:rFonts w:ascii="Garamond" w:hAnsi="Garamond"/>
          <w:b/>
        </w:rPr>
      </w:pPr>
      <w:bookmarkStart w:id="2" w:name="OLE_LINK2"/>
      <w:r>
        <w:rPr>
          <w:rFonts w:ascii="Garamond" w:hAnsi="Garamond"/>
          <w:b/>
        </w:rPr>
        <w:t>Project highlights</w:t>
      </w:r>
      <w:r w:rsidR="007D7EDE" w:rsidRPr="00B73F5E">
        <w:rPr>
          <w:rFonts w:ascii="Garamond" w:hAnsi="Garamond"/>
          <w:b/>
        </w:rPr>
        <w:t>:</w:t>
      </w:r>
    </w:p>
    <w:bookmarkEnd w:id="2"/>
    <w:p w:rsidR="0058163E" w:rsidRDefault="00D70646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Meetings: </w:t>
      </w:r>
      <w:r w:rsidR="00743196">
        <w:rPr>
          <w:rFonts w:ascii="Garamond" w:hAnsi="Garamond"/>
        </w:rPr>
        <w:t>P</w:t>
      </w:r>
      <w:r w:rsidR="0058163E">
        <w:rPr>
          <w:rFonts w:ascii="Garamond" w:hAnsi="Garamond"/>
        </w:rPr>
        <w:t>r</w:t>
      </w:r>
      <w:r w:rsidR="00A471CA">
        <w:rPr>
          <w:rFonts w:ascii="Garamond" w:hAnsi="Garamond"/>
        </w:rPr>
        <w:t xml:space="preserve">oject </w:t>
      </w:r>
      <w:r w:rsidR="00500115">
        <w:rPr>
          <w:rFonts w:ascii="Garamond" w:hAnsi="Garamond"/>
        </w:rPr>
        <w:t>facilitator Chris Page</w:t>
      </w:r>
      <w:r w:rsidR="00255BC5">
        <w:rPr>
          <w:rFonts w:ascii="Garamond" w:hAnsi="Garamond"/>
        </w:rPr>
        <w:t xml:space="preserve"> </w:t>
      </w:r>
      <w:r w:rsidR="006A71BB">
        <w:rPr>
          <w:rFonts w:ascii="Garamond" w:hAnsi="Garamond"/>
        </w:rPr>
        <w:t>develop</w:t>
      </w:r>
      <w:r w:rsidR="00983D52">
        <w:rPr>
          <w:rFonts w:ascii="Garamond" w:hAnsi="Garamond"/>
        </w:rPr>
        <w:t xml:space="preserve">ed meeting agendas </w:t>
      </w:r>
      <w:r w:rsidR="00656103">
        <w:rPr>
          <w:rFonts w:ascii="Garamond" w:hAnsi="Garamond"/>
        </w:rPr>
        <w:t>for</w:t>
      </w:r>
      <w:r w:rsidR="004A02F1">
        <w:rPr>
          <w:rFonts w:ascii="Garamond" w:hAnsi="Garamond"/>
        </w:rPr>
        <w:t xml:space="preserve"> six</w:t>
      </w:r>
      <w:r w:rsidR="009B1CB2">
        <w:rPr>
          <w:rFonts w:ascii="Garamond" w:hAnsi="Garamond"/>
        </w:rPr>
        <w:t xml:space="preserve"> </w:t>
      </w:r>
      <w:r w:rsidR="00500115">
        <w:rPr>
          <w:rFonts w:ascii="Garamond" w:hAnsi="Garamond"/>
        </w:rPr>
        <w:t xml:space="preserve">meetings, </w:t>
      </w:r>
      <w:r w:rsidR="004A02F1">
        <w:rPr>
          <w:rFonts w:ascii="Garamond" w:hAnsi="Garamond"/>
        </w:rPr>
        <w:t xml:space="preserve">including three </w:t>
      </w:r>
      <w:r w:rsidR="00743196">
        <w:rPr>
          <w:rFonts w:ascii="Garamond" w:hAnsi="Garamond"/>
        </w:rPr>
        <w:t xml:space="preserve">Task </w:t>
      </w:r>
      <w:r w:rsidR="00F76D9A">
        <w:rPr>
          <w:rFonts w:ascii="Garamond" w:hAnsi="Garamond"/>
        </w:rPr>
        <w:t>Force meetings</w:t>
      </w:r>
      <w:r w:rsidR="009B1CB2">
        <w:rPr>
          <w:rFonts w:ascii="Garamond" w:hAnsi="Garamond"/>
        </w:rPr>
        <w:t xml:space="preserve"> and </w:t>
      </w:r>
      <w:r w:rsidR="00DB6444">
        <w:rPr>
          <w:rFonts w:ascii="Garamond" w:hAnsi="Garamond"/>
        </w:rPr>
        <w:t>three</w:t>
      </w:r>
      <w:r w:rsidR="004A02F1">
        <w:rPr>
          <w:rFonts w:ascii="Garamond" w:hAnsi="Garamond"/>
        </w:rPr>
        <w:t xml:space="preserve"> T</w:t>
      </w:r>
      <w:r w:rsidR="005B7A1F">
        <w:rPr>
          <w:rFonts w:ascii="Garamond" w:hAnsi="Garamond"/>
        </w:rPr>
        <w:t>echnical Track Work Group</w:t>
      </w:r>
      <w:r w:rsidR="00871107">
        <w:rPr>
          <w:rFonts w:ascii="Garamond" w:hAnsi="Garamond"/>
        </w:rPr>
        <w:t xml:space="preserve"> </w:t>
      </w:r>
      <w:r w:rsidR="00656103">
        <w:rPr>
          <w:rFonts w:ascii="Garamond" w:hAnsi="Garamond"/>
        </w:rPr>
        <w:t xml:space="preserve">(TTWG) </w:t>
      </w:r>
      <w:r w:rsidR="00871107">
        <w:rPr>
          <w:rFonts w:ascii="Garamond" w:hAnsi="Garamond"/>
        </w:rPr>
        <w:t>meetings</w:t>
      </w:r>
      <w:r w:rsidR="00656103">
        <w:rPr>
          <w:rFonts w:ascii="Garamond" w:hAnsi="Garamond"/>
        </w:rPr>
        <w:t>. Chris facilitated</w:t>
      </w:r>
      <w:r w:rsidR="00781603">
        <w:rPr>
          <w:rFonts w:ascii="Garamond" w:hAnsi="Garamond"/>
        </w:rPr>
        <w:t xml:space="preserve"> </w:t>
      </w:r>
      <w:r w:rsidR="000560AD">
        <w:rPr>
          <w:rFonts w:ascii="Garamond" w:hAnsi="Garamond"/>
        </w:rPr>
        <w:t>8 meetings including Task Force, TTWG and two Memorandum of Agreement (MOA) work group meetings</w:t>
      </w:r>
      <w:r w:rsidR="00CF7550">
        <w:rPr>
          <w:rFonts w:ascii="Garamond" w:hAnsi="Garamond"/>
        </w:rPr>
        <w:t xml:space="preserve">. </w:t>
      </w:r>
      <w:r w:rsidR="00D02635" w:rsidRPr="004A02F1">
        <w:rPr>
          <w:rFonts w:ascii="Garamond" w:hAnsi="Garamond"/>
        </w:rPr>
        <w:t>M</w:t>
      </w:r>
      <w:r w:rsidR="00983D52" w:rsidRPr="004A02F1">
        <w:rPr>
          <w:rFonts w:ascii="Garamond" w:hAnsi="Garamond"/>
        </w:rPr>
        <w:t xml:space="preserve">eeting notices, </w:t>
      </w:r>
      <w:r w:rsidR="00F76D9A" w:rsidRPr="004A02F1">
        <w:rPr>
          <w:rFonts w:ascii="Garamond" w:hAnsi="Garamond"/>
        </w:rPr>
        <w:t>agendas and materials</w:t>
      </w:r>
      <w:r w:rsidR="003F4F96" w:rsidRPr="004A02F1">
        <w:rPr>
          <w:rFonts w:ascii="Garamond" w:hAnsi="Garamond"/>
        </w:rPr>
        <w:t>, and summaries</w:t>
      </w:r>
      <w:r w:rsidR="00D02635" w:rsidRPr="004A02F1">
        <w:rPr>
          <w:rFonts w:ascii="Garamond" w:hAnsi="Garamond"/>
        </w:rPr>
        <w:t xml:space="preserve"> </w:t>
      </w:r>
      <w:r w:rsidR="003F4F96">
        <w:rPr>
          <w:rFonts w:ascii="Garamond" w:hAnsi="Garamond"/>
        </w:rPr>
        <w:t>were drafted</w:t>
      </w:r>
      <w:r w:rsidR="00DB3250">
        <w:rPr>
          <w:rFonts w:ascii="Garamond" w:hAnsi="Garamond"/>
        </w:rPr>
        <w:t xml:space="preserve"> and distributed</w:t>
      </w:r>
      <w:r w:rsidR="00D41EFC">
        <w:rPr>
          <w:rFonts w:ascii="Garamond" w:hAnsi="Garamond"/>
        </w:rPr>
        <w:t xml:space="preserve"> for each meeting by</w:t>
      </w:r>
      <w:r w:rsidR="00F758EB">
        <w:rPr>
          <w:rFonts w:ascii="Garamond" w:hAnsi="Garamond"/>
        </w:rPr>
        <w:t xml:space="preserve"> </w:t>
      </w:r>
      <w:r w:rsidR="00DB6444">
        <w:rPr>
          <w:rFonts w:ascii="Garamond" w:hAnsi="Garamond"/>
        </w:rPr>
        <w:t>Kara Whitman</w:t>
      </w:r>
      <w:r w:rsidR="002918B8">
        <w:rPr>
          <w:rFonts w:ascii="Garamond" w:hAnsi="Garamond"/>
        </w:rPr>
        <w:t>.</w:t>
      </w:r>
      <w:r w:rsidR="000560AD">
        <w:rPr>
          <w:rFonts w:ascii="Garamond" w:hAnsi="Garamond"/>
        </w:rPr>
        <w:t xml:space="preserve"> One Task force conference call was facilitated by Kara Whitman.</w:t>
      </w:r>
    </w:p>
    <w:p w:rsidR="00891E02" w:rsidRDefault="00891E02" w:rsidP="00891E02">
      <w:pPr>
        <w:ind w:left="720"/>
        <w:rPr>
          <w:rFonts w:ascii="Garamond" w:hAnsi="Garamond"/>
        </w:rPr>
      </w:pPr>
    </w:p>
    <w:p w:rsidR="00891E02" w:rsidRDefault="00DB6444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Synoptic Sampling</w:t>
      </w:r>
      <w:r w:rsidR="000560AD">
        <w:rPr>
          <w:rFonts w:ascii="Garamond" w:hAnsi="Garamond"/>
          <w:b/>
        </w:rPr>
        <w:t xml:space="preserve"> and January 2015 PCB Workshop</w:t>
      </w:r>
      <w:r w:rsidR="00891E02">
        <w:rPr>
          <w:rFonts w:ascii="Garamond" w:hAnsi="Garamond"/>
          <w:b/>
        </w:rPr>
        <w:t>:</w:t>
      </w:r>
      <w:r w:rsidR="00424FB3">
        <w:rPr>
          <w:rFonts w:ascii="Garamond" w:hAnsi="Garamond"/>
        </w:rPr>
        <w:t xml:space="preserve"> The Center assisted the Task Force in the planning of the January 2015 PCB Workshop. </w:t>
      </w:r>
      <w:r w:rsidR="00D41C80">
        <w:rPr>
          <w:rFonts w:ascii="Garamond" w:hAnsi="Garamond"/>
        </w:rPr>
        <w:t>This included the development of the Workshop agenda, securing a venue,</w:t>
      </w:r>
      <w:r w:rsidR="00424FB3">
        <w:rPr>
          <w:rFonts w:ascii="Garamond" w:hAnsi="Garamond"/>
        </w:rPr>
        <w:t xml:space="preserve"> a venue visit, </w:t>
      </w:r>
      <w:r w:rsidR="00D41C80">
        <w:rPr>
          <w:rFonts w:ascii="Garamond" w:hAnsi="Garamond"/>
        </w:rPr>
        <w:t>and identifying</w:t>
      </w:r>
      <w:r w:rsidR="00424FB3">
        <w:rPr>
          <w:rFonts w:ascii="Garamond" w:hAnsi="Garamond"/>
        </w:rPr>
        <w:t xml:space="preserve"> </w:t>
      </w:r>
      <w:r w:rsidR="00D41C80">
        <w:rPr>
          <w:rFonts w:ascii="Garamond" w:hAnsi="Garamond"/>
        </w:rPr>
        <w:t>g</w:t>
      </w:r>
      <w:r w:rsidR="00424FB3">
        <w:rPr>
          <w:rFonts w:ascii="Garamond" w:hAnsi="Garamond"/>
        </w:rPr>
        <w:t>raduate stude</w:t>
      </w:r>
      <w:r w:rsidR="00D41C80">
        <w:rPr>
          <w:rFonts w:ascii="Garamond" w:hAnsi="Garamond"/>
        </w:rPr>
        <w:t>nt assistance from Washington State University for the W</w:t>
      </w:r>
      <w:r w:rsidR="00424FB3">
        <w:rPr>
          <w:rFonts w:ascii="Garamond" w:hAnsi="Garamond"/>
        </w:rPr>
        <w:t>orkshop</w:t>
      </w:r>
      <w:r w:rsidR="00D41C80">
        <w:rPr>
          <w:rFonts w:ascii="Garamond" w:hAnsi="Garamond"/>
        </w:rPr>
        <w:t xml:space="preserve">. </w:t>
      </w:r>
    </w:p>
    <w:p w:rsidR="00D41EFC" w:rsidRDefault="00D41EFC" w:rsidP="003F4F96">
      <w:pPr>
        <w:ind w:left="720"/>
        <w:rPr>
          <w:rFonts w:ascii="Garamond" w:hAnsi="Garamond"/>
        </w:rPr>
      </w:pPr>
    </w:p>
    <w:p w:rsidR="00DB3250" w:rsidRPr="002B4E3C" w:rsidRDefault="001F5924" w:rsidP="002B4E3C">
      <w:pPr>
        <w:pStyle w:val="ListParagraph"/>
        <w:numPr>
          <w:ilvl w:val="0"/>
          <w:numId w:val="13"/>
        </w:numPr>
        <w:rPr>
          <w:rFonts w:ascii="Garamond" w:eastAsia="Times New Roman" w:hAnsi="Garamond"/>
          <w:b/>
          <w:sz w:val="24"/>
          <w:szCs w:val="24"/>
        </w:rPr>
      </w:pPr>
      <w:r w:rsidRPr="001F5924">
        <w:rPr>
          <w:rFonts w:ascii="Garamond" w:hAnsi="Garamond"/>
          <w:b/>
          <w:sz w:val="24"/>
        </w:rPr>
        <w:t>MOA and Transparency</w:t>
      </w:r>
      <w:r w:rsidR="00D70646" w:rsidRPr="001F5924">
        <w:rPr>
          <w:rFonts w:ascii="Garamond" w:hAnsi="Garamond"/>
          <w:b/>
          <w:sz w:val="24"/>
        </w:rPr>
        <w:t>:</w:t>
      </w:r>
      <w:r w:rsidR="002B4E3C" w:rsidRPr="002B4E3C">
        <w:rPr>
          <w:rFonts w:ascii="Garamond" w:hAnsi="Garamond"/>
          <w:b/>
        </w:rPr>
        <w:t xml:space="preserve"> </w:t>
      </w:r>
      <w:r w:rsidR="002B4E3C" w:rsidRPr="002B4E3C">
        <w:rPr>
          <w:rFonts w:ascii="Garamond" w:eastAsia="Times New Roman" w:hAnsi="Garamond"/>
          <w:sz w:val="24"/>
          <w:szCs w:val="24"/>
        </w:rPr>
        <w:t>The</w:t>
      </w:r>
      <w:r w:rsidR="002B4E3C">
        <w:rPr>
          <w:rFonts w:ascii="Garamond" w:eastAsia="Times New Roman" w:hAnsi="Garamond"/>
          <w:sz w:val="24"/>
          <w:szCs w:val="24"/>
        </w:rPr>
        <w:t xml:space="preserve"> Center </w:t>
      </w:r>
      <w:r>
        <w:rPr>
          <w:rFonts w:ascii="Garamond" w:eastAsia="Times New Roman" w:hAnsi="Garamond"/>
          <w:sz w:val="24"/>
          <w:szCs w:val="24"/>
        </w:rPr>
        <w:t xml:space="preserve">assisted the Task Force in </w:t>
      </w:r>
      <w:r w:rsidR="00A63568">
        <w:rPr>
          <w:rFonts w:ascii="Garamond" w:eastAsia="Times New Roman" w:hAnsi="Garamond"/>
          <w:sz w:val="24"/>
          <w:szCs w:val="24"/>
        </w:rPr>
        <w:t>the formation of</w:t>
      </w:r>
      <w:r w:rsidR="00424FB3">
        <w:rPr>
          <w:rFonts w:ascii="Garamond" w:eastAsia="Times New Roman" w:hAnsi="Garamond"/>
          <w:sz w:val="24"/>
          <w:szCs w:val="24"/>
        </w:rPr>
        <w:t xml:space="preserve"> the Memorandum of Agreement Work Group (MOA WG)</w:t>
      </w:r>
      <w:r w:rsidR="00A63568">
        <w:rPr>
          <w:rFonts w:ascii="Garamond" w:eastAsia="Times New Roman" w:hAnsi="Garamond"/>
          <w:sz w:val="24"/>
          <w:szCs w:val="24"/>
        </w:rPr>
        <w:t>, scheduled meetings of the MOA</w:t>
      </w:r>
      <w:r w:rsidR="00424FB3">
        <w:rPr>
          <w:rFonts w:ascii="Garamond" w:eastAsia="Times New Roman" w:hAnsi="Garamond"/>
          <w:sz w:val="24"/>
          <w:szCs w:val="24"/>
        </w:rPr>
        <w:t xml:space="preserve"> WG</w:t>
      </w:r>
      <w:r w:rsidR="00A63568">
        <w:rPr>
          <w:rFonts w:ascii="Garamond" w:eastAsia="Times New Roman" w:hAnsi="Garamond"/>
          <w:sz w:val="24"/>
          <w:szCs w:val="24"/>
        </w:rPr>
        <w:t xml:space="preserve"> and </w:t>
      </w:r>
      <w:r w:rsidR="00DD6220">
        <w:rPr>
          <w:rFonts w:ascii="Garamond" w:eastAsia="Times New Roman" w:hAnsi="Garamond"/>
          <w:sz w:val="24"/>
          <w:szCs w:val="24"/>
        </w:rPr>
        <w:t>facilitated the consideration of revisions to the MOA</w:t>
      </w:r>
      <w:r w:rsidR="00DD6220">
        <w:rPr>
          <w:rFonts w:ascii="Garamond" w:hAnsi="Garamond"/>
        </w:rPr>
        <w:t>.</w:t>
      </w:r>
    </w:p>
    <w:p w:rsidR="003F4F96" w:rsidRDefault="003F4F96" w:rsidP="003F4F96">
      <w:pPr>
        <w:rPr>
          <w:rFonts w:ascii="Garamond" w:hAnsi="Garamond"/>
        </w:rPr>
      </w:pPr>
    </w:p>
    <w:p w:rsidR="00C01ADC" w:rsidRPr="00285244" w:rsidRDefault="00D70646" w:rsidP="0028524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Website Management: </w:t>
      </w:r>
      <w:r w:rsidR="001F5924">
        <w:rPr>
          <w:rFonts w:ascii="Garamond" w:hAnsi="Garamond"/>
        </w:rPr>
        <w:t xml:space="preserve">Kara Whitman </w:t>
      </w:r>
      <w:r w:rsidR="00983D52">
        <w:rPr>
          <w:rFonts w:ascii="Garamond" w:hAnsi="Garamond"/>
        </w:rPr>
        <w:t xml:space="preserve">managed and updated the </w:t>
      </w:r>
      <w:r w:rsidR="00BB3D4F">
        <w:rPr>
          <w:rFonts w:ascii="Garamond" w:hAnsi="Garamond"/>
        </w:rPr>
        <w:t>web page on behalf of the Task F</w:t>
      </w:r>
      <w:r>
        <w:rPr>
          <w:rFonts w:ascii="Garamond" w:hAnsi="Garamond"/>
        </w:rPr>
        <w:t>orce f</w:t>
      </w:r>
      <w:r w:rsidR="00D02635">
        <w:rPr>
          <w:rFonts w:ascii="Garamond" w:hAnsi="Garamond"/>
        </w:rPr>
        <w:t xml:space="preserve">or the </w:t>
      </w:r>
      <w:r w:rsidR="00983D52">
        <w:rPr>
          <w:rFonts w:ascii="Garamond" w:hAnsi="Garamond"/>
        </w:rPr>
        <w:t>meeting</w:t>
      </w:r>
      <w:r w:rsidR="00BB3D4F">
        <w:rPr>
          <w:rFonts w:ascii="Garamond" w:hAnsi="Garamond"/>
        </w:rPr>
        <w:t>s facilitated by the Ruckelshaus Center</w:t>
      </w:r>
      <w:r>
        <w:rPr>
          <w:rFonts w:ascii="Garamond" w:hAnsi="Garamond"/>
        </w:rPr>
        <w:t>.</w:t>
      </w:r>
      <w:r w:rsidR="00BB3D4F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BB3D4F">
        <w:rPr>
          <w:rFonts w:ascii="Garamond" w:hAnsi="Garamond"/>
        </w:rPr>
        <w:t>his included posting meeting announcements,</w:t>
      </w:r>
      <w:r w:rsidR="00983D52">
        <w:rPr>
          <w:rFonts w:ascii="Garamond" w:hAnsi="Garamond"/>
        </w:rPr>
        <w:t xml:space="preserve"> materials</w:t>
      </w:r>
      <w:r w:rsidR="00E85F02">
        <w:rPr>
          <w:rFonts w:ascii="Garamond" w:hAnsi="Garamond"/>
        </w:rPr>
        <w:t xml:space="preserve"> and supporting documents</w:t>
      </w:r>
      <w:r w:rsidR="00BB3D4F">
        <w:rPr>
          <w:rFonts w:ascii="Garamond" w:hAnsi="Garamond"/>
        </w:rPr>
        <w:t>, and meeting summaries</w:t>
      </w:r>
      <w:r w:rsidR="00663B88">
        <w:rPr>
          <w:rFonts w:ascii="Garamond" w:hAnsi="Garamond"/>
        </w:rPr>
        <w:t>—</w:t>
      </w:r>
      <w:r w:rsidR="00663B88">
        <w:rPr>
          <w:rFonts w:ascii="Garamond" w:hAnsi="Garamond"/>
        </w:rPr>
        <w:lastRenderedPageBreak/>
        <w:t>and also encompasses the documentation of the annual accomplishments of the Task Force for 2013.</w:t>
      </w:r>
    </w:p>
    <w:p w:rsidR="00C01ADC" w:rsidRDefault="00C01ADC" w:rsidP="00C01ADC">
      <w:pPr>
        <w:pStyle w:val="ListParagraph"/>
        <w:rPr>
          <w:rFonts w:ascii="Garamond" w:hAnsi="Garamond"/>
        </w:rPr>
      </w:pPr>
    </w:p>
    <w:p w:rsidR="00AB6174" w:rsidRDefault="00C01ADC" w:rsidP="00424FB3">
      <w:pPr>
        <w:numPr>
          <w:ilvl w:val="0"/>
          <w:numId w:val="13"/>
        </w:numPr>
        <w:spacing w:after="240"/>
        <w:rPr>
          <w:rFonts w:ascii="Garamond" w:hAnsi="Garamond"/>
        </w:rPr>
      </w:pPr>
      <w:r>
        <w:rPr>
          <w:rFonts w:ascii="Garamond" w:hAnsi="Garamond"/>
          <w:b/>
        </w:rPr>
        <w:t xml:space="preserve">Technical Advisor: </w:t>
      </w:r>
      <w:r>
        <w:rPr>
          <w:rFonts w:ascii="Garamond" w:hAnsi="Garamond"/>
        </w:rPr>
        <w:t xml:space="preserve">The Task Force worked with the Technical Advisor </w:t>
      </w:r>
      <w:r w:rsidR="00D507CC">
        <w:rPr>
          <w:rFonts w:ascii="Garamond" w:hAnsi="Garamond"/>
        </w:rPr>
        <w:t>(</w:t>
      </w:r>
      <w:r>
        <w:rPr>
          <w:rFonts w:ascii="Garamond" w:hAnsi="Garamond"/>
        </w:rPr>
        <w:t>Limno</w:t>
      </w:r>
      <w:r w:rsidR="00285244">
        <w:rPr>
          <w:rFonts w:ascii="Garamond" w:hAnsi="Garamond"/>
        </w:rPr>
        <w:t>Tech</w:t>
      </w:r>
      <w:r w:rsidR="00D507CC">
        <w:rPr>
          <w:rFonts w:ascii="Garamond" w:hAnsi="Garamond"/>
        </w:rPr>
        <w:t>)</w:t>
      </w:r>
      <w:r w:rsidR="00285244">
        <w:rPr>
          <w:rFonts w:ascii="Garamond" w:hAnsi="Garamond"/>
        </w:rPr>
        <w:t xml:space="preserve"> to </w:t>
      </w:r>
      <w:r w:rsidR="00663B88">
        <w:rPr>
          <w:rFonts w:ascii="Garamond" w:hAnsi="Garamond"/>
        </w:rPr>
        <w:t>assist in Task Force understanding of technical issues and to ensure that presentations and reports get adequately vetted before meetings.</w:t>
      </w:r>
    </w:p>
    <w:p w:rsidR="000560AD" w:rsidRPr="00E74E6F" w:rsidRDefault="000560AD" w:rsidP="00AB617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Public Information and Outreach:</w:t>
      </w:r>
      <w:r>
        <w:rPr>
          <w:rFonts w:ascii="Garamond" w:hAnsi="Garamond"/>
        </w:rPr>
        <w:t xml:space="preserve"> </w:t>
      </w:r>
      <w:r w:rsidR="00DD6220">
        <w:rPr>
          <w:rFonts w:ascii="Garamond" w:hAnsi="Garamond"/>
        </w:rPr>
        <w:t xml:space="preserve">The Center assisted in the development of outreach materials for the Spokane River Forum with the assistance of a Washington State University student. These materials included 3 large posters, business cards and a 3X5 handout.  The materials are now available for Task Force use at future events. </w:t>
      </w:r>
    </w:p>
    <w:p w:rsidR="00085CE1" w:rsidRPr="00346C63" w:rsidRDefault="00AB6174" w:rsidP="00346C63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</w:p>
    <w:p w:rsidR="00AD50D3" w:rsidRDefault="00983D52" w:rsidP="00AD50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Center Staff will continue to work with Task Force members and Work Groups in support of their </w:t>
      </w:r>
      <w:r w:rsidR="00AD50D3" w:rsidRPr="00B73F5E">
        <w:rPr>
          <w:rFonts w:ascii="Garamond" w:hAnsi="Garamond"/>
          <w:b/>
        </w:rPr>
        <w:t>project activities:</w:t>
      </w:r>
    </w:p>
    <w:p w:rsidR="00085CE1" w:rsidRPr="00B73F5E" w:rsidRDefault="00085CE1" w:rsidP="00AD50D3">
      <w:pPr>
        <w:rPr>
          <w:rFonts w:ascii="Garamond" w:hAnsi="Garamond"/>
          <w:b/>
        </w:rPr>
      </w:pPr>
    </w:p>
    <w:p w:rsidR="0058163E" w:rsidRDefault="00285244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</w:t>
      </w:r>
      <w:r w:rsidR="0058163E">
        <w:rPr>
          <w:rFonts w:ascii="Garamond" w:hAnsi="Garamond"/>
        </w:rPr>
        <w:t>work groups will conti</w:t>
      </w:r>
      <w:r w:rsidR="00B44A4D">
        <w:rPr>
          <w:rFonts w:ascii="Garamond" w:hAnsi="Garamond"/>
        </w:rPr>
        <w:t>nue to meet on a monthly basis, with the MOA WG meeting regularly every two weeks or as needed until its efforts are completed.</w:t>
      </w:r>
    </w:p>
    <w:p w:rsidR="00494B38" w:rsidRDefault="00346C63" w:rsidP="00494B3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will continue to work with the </w:t>
      </w:r>
      <w:r w:rsidR="00AB6174">
        <w:rPr>
          <w:rFonts w:ascii="Garamond" w:hAnsi="Garamond"/>
        </w:rPr>
        <w:t>Technical Consultant</w:t>
      </w:r>
      <w:r>
        <w:rPr>
          <w:rFonts w:ascii="Garamond" w:hAnsi="Garamond"/>
        </w:rPr>
        <w:t xml:space="preserve"> on</w:t>
      </w:r>
      <w:r w:rsidR="00285244">
        <w:rPr>
          <w:rFonts w:ascii="Garamond" w:hAnsi="Garamond"/>
        </w:rPr>
        <w:t xml:space="preserve"> completing assigned Tasks</w:t>
      </w:r>
      <w:r w:rsidR="00D507CC">
        <w:rPr>
          <w:rFonts w:ascii="Garamond" w:hAnsi="Garamond"/>
        </w:rPr>
        <w:t xml:space="preserve"> as well as on Phase Two of the Technical Consultant’s work</w:t>
      </w:r>
      <w:r w:rsidR="00AB6174">
        <w:rPr>
          <w:rFonts w:ascii="Garamond" w:hAnsi="Garamond"/>
        </w:rPr>
        <w:t>.</w:t>
      </w:r>
    </w:p>
    <w:p w:rsidR="00494B38" w:rsidRDefault="00494B38" w:rsidP="00891E02">
      <w:pPr>
        <w:numPr>
          <w:ilvl w:val="0"/>
          <w:numId w:val="13"/>
        </w:numPr>
        <w:rPr>
          <w:rFonts w:ascii="Garamond" w:hAnsi="Garamond"/>
        </w:rPr>
      </w:pPr>
      <w:r w:rsidRPr="00494B38">
        <w:rPr>
          <w:rFonts w:ascii="Garamond" w:hAnsi="Garamond"/>
        </w:rPr>
        <w:t>EPA and the Idaho parties plan to join t</w:t>
      </w:r>
      <w:r w:rsidR="00DD6220">
        <w:rPr>
          <w:rFonts w:ascii="Garamond" w:hAnsi="Garamond"/>
        </w:rPr>
        <w:t xml:space="preserve">he Task Force formally now that the </w:t>
      </w:r>
      <w:r w:rsidRPr="00494B38">
        <w:rPr>
          <w:rFonts w:ascii="Garamond" w:hAnsi="Garamond"/>
        </w:rPr>
        <w:t>Idaho discharger permits are finalized.</w:t>
      </w:r>
      <w:r w:rsidR="006A71BB">
        <w:rPr>
          <w:rFonts w:ascii="Garamond" w:hAnsi="Garamond"/>
        </w:rPr>
        <w:t xml:space="preserve"> The Center will</w:t>
      </w:r>
      <w:r w:rsidR="00DD6220">
        <w:rPr>
          <w:rFonts w:ascii="Garamond" w:hAnsi="Garamond"/>
        </w:rPr>
        <w:t xml:space="preserve"> continue to</w:t>
      </w:r>
      <w:r w:rsidR="006A71BB">
        <w:rPr>
          <w:rFonts w:ascii="Garamond" w:hAnsi="Garamond"/>
        </w:rPr>
        <w:t xml:space="preserve"> facilitate the Task Force’s consideration of, and agreement on, needed changes to the group’s Memorandum of Agreement.</w:t>
      </w:r>
    </w:p>
    <w:p w:rsidR="0081499F" w:rsidRDefault="00263157" w:rsidP="00891E02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The Task Force will continue to work on documenting their activities and developing and i</w:t>
      </w:r>
      <w:r w:rsidR="0081499F">
        <w:rPr>
          <w:rFonts w:ascii="Garamond" w:hAnsi="Garamond"/>
        </w:rPr>
        <w:t>mplementing a communication strategy.</w:t>
      </w:r>
      <w:bookmarkStart w:id="3" w:name="_GoBack"/>
      <w:bookmarkEnd w:id="3"/>
    </w:p>
    <w:p w:rsidR="00663B88" w:rsidRPr="00891E02" w:rsidRDefault="00663B88" w:rsidP="00891E02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TTWG will </w:t>
      </w:r>
      <w:r w:rsidR="00DD6220">
        <w:rPr>
          <w:rFonts w:ascii="Garamond" w:hAnsi="Garamond"/>
        </w:rPr>
        <w:t>finalize plans for the</w:t>
      </w:r>
      <w:r>
        <w:rPr>
          <w:rFonts w:ascii="Garamond" w:hAnsi="Garamond"/>
        </w:rPr>
        <w:t xml:space="preserve"> technical workshop to be held in January 2015, including extra planning meetings and the inclusion of experts from around the United States.</w:t>
      </w:r>
    </w:p>
    <w:p w:rsidR="00F758EB" w:rsidRPr="00494B38" w:rsidRDefault="00F758EB" w:rsidP="00F758EB">
      <w:pPr>
        <w:rPr>
          <w:rFonts w:ascii="Garamond" w:hAnsi="Garamond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>The William D. Ruckelshaus Center</w:t>
      </w:r>
      <w:r>
        <w:t xml:space="preserve"> 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 xml:space="preserve">Email: </w:t>
      </w:r>
      <w:hyperlink r:id="rId8" w:history="1">
        <w:r>
          <w:rPr>
            <w:rStyle w:val="Hyperlink"/>
          </w:rPr>
          <w:t>ruckelshauscenter@wsu.edu</w:t>
        </w:r>
      </w:hyperlink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  <w:sectPr w:rsidR="000D35D0" w:rsidSect="009323D9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Seattle Office: </w:t>
      </w:r>
      <w:r>
        <w:rPr>
          <w:b/>
          <w:bCs/>
        </w:rPr>
        <w:br/>
      </w:r>
      <w:r>
        <w:t>901 - 5th Ave</w:t>
      </w:r>
      <w:r w:rsidR="00556337">
        <w:t>nue, Suite 2900</w:t>
      </w:r>
      <w:r w:rsidR="00556337">
        <w:br/>
        <w:t>Seattle, WA 98164</w:t>
      </w:r>
      <w:r>
        <w:t>-2040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>Phone: (206) 428-3021</w:t>
      </w:r>
      <w:r>
        <w:br/>
        <w:t>Fax: (206) 448-1334</w:t>
      </w: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Pullman Office: </w:t>
      </w:r>
      <w:r>
        <w:br/>
        <w:t xml:space="preserve">P.O. Box 646248 </w:t>
      </w:r>
      <w:r>
        <w:br/>
        <w:t xml:space="preserve">Pullman, WA 99164-6248 </w:t>
      </w:r>
    </w:p>
    <w:p w:rsidR="000D35D0" w:rsidRPr="00AB6174" w:rsidRDefault="000D35D0" w:rsidP="00AB6174">
      <w:pPr>
        <w:pStyle w:val="NormalWeb"/>
        <w:spacing w:before="0" w:beforeAutospacing="0" w:after="0" w:afterAutospacing="0"/>
        <w:sectPr w:rsidR="000D35D0" w:rsidRPr="00AB6174" w:rsidSect="000D35D0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  <w:r>
        <w:t>Phone: (50</w:t>
      </w:r>
      <w:r w:rsidR="00AB6174">
        <w:t>9) 335-2937</w:t>
      </w:r>
      <w:r w:rsidR="00AB6174">
        <w:br/>
        <w:t>Fax: (509) 335-2926</w:t>
      </w:r>
    </w:p>
    <w:p w:rsidR="000D35D0" w:rsidRPr="00B73F5E" w:rsidRDefault="000D35D0" w:rsidP="00304FDF">
      <w:pPr>
        <w:pStyle w:val="NoSpacing"/>
        <w:rPr>
          <w:rFonts w:ascii="Garamond" w:hAnsi="Garamond"/>
        </w:rPr>
      </w:pPr>
    </w:p>
    <w:sectPr w:rsidR="000D35D0" w:rsidRPr="00B73F5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2E" w:rsidRDefault="000B572E">
      <w:r>
        <w:separator/>
      </w:r>
    </w:p>
  </w:endnote>
  <w:endnote w:type="continuationSeparator" w:id="0">
    <w:p w:rsidR="000B572E" w:rsidRDefault="000B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9F" w:rsidRDefault="0037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9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99F" w:rsidRDefault="008149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9F" w:rsidRDefault="0081499F">
    <w:pPr>
      <w:pStyle w:val="Footer"/>
    </w:pPr>
    <w:r>
      <w:t>Quarterly Report</w:t>
    </w:r>
    <w:r>
      <w:ptab w:relativeTo="margin" w:alignment="center" w:leader="none"/>
    </w:r>
    <w:r>
      <w:t xml:space="preserve">Prepared by: </w:t>
    </w:r>
    <w:r w:rsidR="00531B73">
      <w:t>Kara Whitman</w:t>
    </w:r>
    <w:r>
      <w:ptab w:relativeTo="margin" w:alignment="right" w:leader="none"/>
    </w:r>
    <w:r>
      <w:t xml:space="preserve">Page | </w:t>
    </w:r>
    <w:r w:rsidR="00377BB8">
      <w:fldChar w:fldCharType="begin"/>
    </w:r>
    <w:r w:rsidR="00CF7550">
      <w:instrText xml:space="preserve"> PAGE   \* MERGEFORMAT </w:instrText>
    </w:r>
    <w:r w:rsidR="00377BB8">
      <w:fldChar w:fldCharType="separate"/>
    </w:r>
    <w:r w:rsidR="00FC577A">
      <w:rPr>
        <w:noProof/>
      </w:rPr>
      <w:t>2</w:t>
    </w:r>
    <w:r w:rsidR="00377BB8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9F" w:rsidRDefault="0081499F">
    <w:pPr>
      <w:pStyle w:val="Footer"/>
    </w:pPr>
    <w:r>
      <w:t>Quarterly Report</w:t>
    </w:r>
    <w:r>
      <w:ptab w:relativeTo="margin" w:alignment="center" w:leader="none"/>
    </w:r>
    <w:r>
      <w:t xml:space="preserve">Prepared by: </w:t>
    </w:r>
    <w:r w:rsidR="00531B73">
      <w:t>Kara Whitman</w:t>
    </w:r>
    <w:r>
      <w:ptab w:relativeTo="margin" w:alignment="right" w:leader="none"/>
    </w:r>
    <w:r>
      <w:t xml:space="preserve">Page | </w:t>
    </w:r>
    <w:r w:rsidR="00377BB8">
      <w:fldChar w:fldCharType="begin"/>
    </w:r>
    <w:r w:rsidR="00CF7550">
      <w:instrText xml:space="preserve"> PAGE   \* MERGEFORMAT </w:instrText>
    </w:r>
    <w:r w:rsidR="00377BB8">
      <w:fldChar w:fldCharType="separate"/>
    </w:r>
    <w:r w:rsidR="00FC577A">
      <w:rPr>
        <w:noProof/>
      </w:rPr>
      <w:t>1</w:t>
    </w:r>
    <w:r w:rsidR="00377BB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2E" w:rsidRDefault="000B572E">
      <w:r>
        <w:separator/>
      </w:r>
    </w:p>
  </w:footnote>
  <w:footnote w:type="continuationSeparator" w:id="0">
    <w:p w:rsidR="000B572E" w:rsidRDefault="000B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9F" w:rsidRPr="0018407D" w:rsidRDefault="0081499F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  <w:num w:numId="2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ge, Chris">
    <w15:presenceInfo w15:providerId="AD" w15:userId="S-1-5-21-861567501-115176313-682003330-32146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95D4D"/>
    <w:rsid w:val="00002FF3"/>
    <w:rsid w:val="0000558C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72E"/>
    <w:rsid w:val="000C4B16"/>
    <w:rsid w:val="000D070D"/>
    <w:rsid w:val="000D35D0"/>
    <w:rsid w:val="000D4F61"/>
    <w:rsid w:val="000F1E6D"/>
    <w:rsid w:val="000F7CA9"/>
    <w:rsid w:val="00121138"/>
    <w:rsid w:val="00121B7E"/>
    <w:rsid w:val="00122F05"/>
    <w:rsid w:val="00131E72"/>
    <w:rsid w:val="001334FA"/>
    <w:rsid w:val="001429B9"/>
    <w:rsid w:val="00146E77"/>
    <w:rsid w:val="0015207A"/>
    <w:rsid w:val="00154469"/>
    <w:rsid w:val="0016115E"/>
    <w:rsid w:val="00162698"/>
    <w:rsid w:val="00171600"/>
    <w:rsid w:val="00173824"/>
    <w:rsid w:val="001754E6"/>
    <w:rsid w:val="00182F2C"/>
    <w:rsid w:val="0018407D"/>
    <w:rsid w:val="0019431D"/>
    <w:rsid w:val="00196C61"/>
    <w:rsid w:val="001A0AC4"/>
    <w:rsid w:val="001B3FB3"/>
    <w:rsid w:val="001B60E9"/>
    <w:rsid w:val="001B617E"/>
    <w:rsid w:val="001D7A05"/>
    <w:rsid w:val="001E2064"/>
    <w:rsid w:val="001E6CFA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765C4"/>
    <w:rsid w:val="002822F2"/>
    <w:rsid w:val="00285244"/>
    <w:rsid w:val="0028645C"/>
    <w:rsid w:val="00290250"/>
    <w:rsid w:val="002918B8"/>
    <w:rsid w:val="002A0216"/>
    <w:rsid w:val="002A28AB"/>
    <w:rsid w:val="002A3C71"/>
    <w:rsid w:val="002A5A50"/>
    <w:rsid w:val="002A6189"/>
    <w:rsid w:val="002B00F8"/>
    <w:rsid w:val="002B4E3C"/>
    <w:rsid w:val="002D0FDA"/>
    <w:rsid w:val="002D49A9"/>
    <w:rsid w:val="002E0238"/>
    <w:rsid w:val="002E0FD4"/>
    <w:rsid w:val="002E1B2C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77BB8"/>
    <w:rsid w:val="003C044F"/>
    <w:rsid w:val="003C4800"/>
    <w:rsid w:val="003C5285"/>
    <w:rsid w:val="003D1FA8"/>
    <w:rsid w:val="003D3010"/>
    <w:rsid w:val="003D56EC"/>
    <w:rsid w:val="003F4F96"/>
    <w:rsid w:val="003F716E"/>
    <w:rsid w:val="00404190"/>
    <w:rsid w:val="0041696A"/>
    <w:rsid w:val="00424FB3"/>
    <w:rsid w:val="00430A97"/>
    <w:rsid w:val="00431E97"/>
    <w:rsid w:val="004656AD"/>
    <w:rsid w:val="004725AA"/>
    <w:rsid w:val="00477CE2"/>
    <w:rsid w:val="00483DE1"/>
    <w:rsid w:val="00494B38"/>
    <w:rsid w:val="004A02F1"/>
    <w:rsid w:val="004B48E0"/>
    <w:rsid w:val="004C7904"/>
    <w:rsid w:val="004E7188"/>
    <w:rsid w:val="00500115"/>
    <w:rsid w:val="005024A0"/>
    <w:rsid w:val="00514F24"/>
    <w:rsid w:val="00531B73"/>
    <w:rsid w:val="00536C39"/>
    <w:rsid w:val="00540C18"/>
    <w:rsid w:val="00545C75"/>
    <w:rsid w:val="005470FE"/>
    <w:rsid w:val="00554FD9"/>
    <w:rsid w:val="00556337"/>
    <w:rsid w:val="005603BD"/>
    <w:rsid w:val="005646A2"/>
    <w:rsid w:val="005765ED"/>
    <w:rsid w:val="0058163E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62A1"/>
    <w:rsid w:val="00652C34"/>
    <w:rsid w:val="00654FE9"/>
    <w:rsid w:val="00655CB3"/>
    <w:rsid w:val="00656103"/>
    <w:rsid w:val="006565D7"/>
    <w:rsid w:val="00663B8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71BB"/>
    <w:rsid w:val="006B6ACA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6115A"/>
    <w:rsid w:val="0077207A"/>
    <w:rsid w:val="00772B59"/>
    <w:rsid w:val="00774DD0"/>
    <w:rsid w:val="00777A50"/>
    <w:rsid w:val="00781603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3541"/>
    <w:rsid w:val="0081499F"/>
    <w:rsid w:val="008162F4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6103F"/>
    <w:rsid w:val="00964D02"/>
    <w:rsid w:val="00965AA8"/>
    <w:rsid w:val="00972EE3"/>
    <w:rsid w:val="009823D1"/>
    <w:rsid w:val="00983D52"/>
    <w:rsid w:val="00995197"/>
    <w:rsid w:val="00995570"/>
    <w:rsid w:val="009A7D6E"/>
    <w:rsid w:val="009B0F88"/>
    <w:rsid w:val="009B1018"/>
    <w:rsid w:val="009B1CB2"/>
    <w:rsid w:val="009C15AE"/>
    <w:rsid w:val="009D6666"/>
    <w:rsid w:val="009F1A42"/>
    <w:rsid w:val="009F3246"/>
    <w:rsid w:val="009F54AD"/>
    <w:rsid w:val="00A169DB"/>
    <w:rsid w:val="00A250B4"/>
    <w:rsid w:val="00A27B2E"/>
    <w:rsid w:val="00A41CE7"/>
    <w:rsid w:val="00A471CA"/>
    <w:rsid w:val="00A63568"/>
    <w:rsid w:val="00A73748"/>
    <w:rsid w:val="00A83B52"/>
    <w:rsid w:val="00A851D9"/>
    <w:rsid w:val="00A91530"/>
    <w:rsid w:val="00A955AE"/>
    <w:rsid w:val="00A95D4D"/>
    <w:rsid w:val="00AA242E"/>
    <w:rsid w:val="00AB5D3E"/>
    <w:rsid w:val="00AB6174"/>
    <w:rsid w:val="00AD50D3"/>
    <w:rsid w:val="00AF4C16"/>
    <w:rsid w:val="00AF4F31"/>
    <w:rsid w:val="00B145B7"/>
    <w:rsid w:val="00B21FF8"/>
    <w:rsid w:val="00B34526"/>
    <w:rsid w:val="00B41BC6"/>
    <w:rsid w:val="00B4220C"/>
    <w:rsid w:val="00B44A4D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A041F"/>
    <w:rsid w:val="00BA51F0"/>
    <w:rsid w:val="00BB052C"/>
    <w:rsid w:val="00BB3D4F"/>
    <w:rsid w:val="00BB6C0B"/>
    <w:rsid w:val="00BD11A0"/>
    <w:rsid w:val="00BD3501"/>
    <w:rsid w:val="00BD428E"/>
    <w:rsid w:val="00BE147A"/>
    <w:rsid w:val="00BE6369"/>
    <w:rsid w:val="00C01ADC"/>
    <w:rsid w:val="00C0542E"/>
    <w:rsid w:val="00C422D4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20A20"/>
    <w:rsid w:val="00D243AF"/>
    <w:rsid w:val="00D41C80"/>
    <w:rsid w:val="00D41EFC"/>
    <w:rsid w:val="00D478EF"/>
    <w:rsid w:val="00D507CC"/>
    <w:rsid w:val="00D60493"/>
    <w:rsid w:val="00D64AC7"/>
    <w:rsid w:val="00D65A08"/>
    <w:rsid w:val="00D65DDF"/>
    <w:rsid w:val="00D668B3"/>
    <w:rsid w:val="00D70646"/>
    <w:rsid w:val="00D743C6"/>
    <w:rsid w:val="00D748A3"/>
    <w:rsid w:val="00D75A1C"/>
    <w:rsid w:val="00D929A1"/>
    <w:rsid w:val="00D92CCD"/>
    <w:rsid w:val="00D96B65"/>
    <w:rsid w:val="00DA1347"/>
    <w:rsid w:val="00DA7B6F"/>
    <w:rsid w:val="00DB3250"/>
    <w:rsid w:val="00DB6444"/>
    <w:rsid w:val="00DB79D4"/>
    <w:rsid w:val="00DC2F01"/>
    <w:rsid w:val="00DD4213"/>
    <w:rsid w:val="00DD6220"/>
    <w:rsid w:val="00DE452C"/>
    <w:rsid w:val="00DF44C9"/>
    <w:rsid w:val="00E02AA1"/>
    <w:rsid w:val="00E17EE0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5B5F-1530-48D0-8E7A-742F995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Kara Whitman</cp:lastModifiedBy>
  <cp:revision>2</cp:revision>
  <cp:lastPrinted>2014-02-07T00:20:00Z</cp:lastPrinted>
  <dcterms:created xsi:type="dcterms:W3CDTF">2015-01-05T22:55:00Z</dcterms:created>
  <dcterms:modified xsi:type="dcterms:W3CDTF">2015-01-05T22:55:00Z</dcterms:modified>
</cp:coreProperties>
</file>