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5" w:rsidRPr="00B73F5E" w:rsidRDefault="002650E5" w:rsidP="002650E5">
      <w:pPr>
        <w:rPr>
          <w:rFonts w:ascii="Garamond" w:hAnsi="Garamond"/>
        </w:rPr>
      </w:pPr>
    </w:p>
    <w:p w:rsidR="00290250" w:rsidRDefault="00F820E4" w:rsidP="00F820E4">
      <w:pPr>
        <w:pStyle w:val="Heading1"/>
        <w:jc w:val="right"/>
        <w:rPr>
          <w:rFonts w:ascii="Calibri" w:hAnsi="Calibri" w:cs="Calibri"/>
          <w:szCs w:val="28"/>
        </w:rPr>
      </w:pPr>
      <w:r w:rsidRPr="00131E72">
        <w:rPr>
          <w:rFonts w:ascii="Calibri" w:hAnsi="Calibri" w:cs="Calibri"/>
          <w:szCs w:val="28"/>
        </w:rPr>
        <w:t>Spokane River Regional Toxics Task Force</w:t>
      </w:r>
    </w:p>
    <w:p w:rsidR="00F76D9A" w:rsidRPr="00F76D9A" w:rsidRDefault="00F76D9A" w:rsidP="00F76D9A">
      <w:r>
        <w:tab/>
      </w:r>
      <w:r>
        <w:tab/>
      </w:r>
      <w:r>
        <w:tab/>
      </w:r>
      <w:r>
        <w:tab/>
      </w:r>
      <w:r>
        <w:tab/>
      </w:r>
      <w:r>
        <w:tab/>
      </w:r>
      <w:r w:rsidR="00E85F02">
        <w:tab/>
        <w:t xml:space="preserve"> </w:t>
      </w:r>
      <w:r w:rsidR="002765C4">
        <w:t xml:space="preserve">   </w:t>
      </w:r>
      <w:r>
        <w:t>Q</w:t>
      </w:r>
      <w:r w:rsidR="005B7A1F">
        <w:t>uarterly Report (</w:t>
      </w:r>
      <w:r w:rsidR="00CB7981">
        <w:t>1/1/15</w:t>
      </w:r>
      <w:r w:rsidR="00932AB6">
        <w:t xml:space="preserve"> – </w:t>
      </w:r>
      <w:r w:rsidR="00CB7981">
        <w:t>3</w:t>
      </w:r>
      <w:r w:rsidR="00500115">
        <w:t>/3</w:t>
      </w:r>
      <w:r w:rsidR="002765C4">
        <w:t>1</w:t>
      </w:r>
      <w:r w:rsidR="00CB7981">
        <w:t>/15</w:t>
      </w:r>
      <w:r w:rsidR="006F309E">
        <w:t>)</w:t>
      </w:r>
    </w:p>
    <w:p w:rsidR="0018407D" w:rsidRPr="00B73F5E" w:rsidRDefault="0018407D" w:rsidP="0018407D">
      <w:pPr>
        <w:rPr>
          <w:rFonts w:ascii="Garamond" w:hAnsi="Garamond"/>
        </w:rPr>
      </w:pPr>
    </w:p>
    <w:p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9323D9">
        <w:rPr>
          <w:rFonts w:ascii="Garamond" w:hAnsi="Garamond"/>
        </w:rPr>
        <w:t xml:space="preserve"> Chris Page</w:t>
      </w:r>
      <w:r w:rsidR="00D41EFC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</w:t>
      </w:r>
      <w:r w:rsidR="00C72017">
        <w:rPr>
          <w:rFonts w:ascii="Garamond" w:hAnsi="Garamond"/>
        </w:rPr>
        <w:t>Kara Whitman</w:t>
      </w:r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Rajcich</w:t>
      </w:r>
      <w:r w:rsidR="00D70646">
        <w:rPr>
          <w:rFonts w:ascii="Garamond" w:hAnsi="Garamond"/>
        </w:rPr>
        <w:t>, Budget Manager</w:t>
      </w:r>
      <w:r w:rsidR="00871107">
        <w:rPr>
          <w:rFonts w:ascii="Garamond" w:hAnsi="Garamond"/>
        </w:rPr>
        <w:t xml:space="preserve"> </w:t>
      </w:r>
    </w:p>
    <w:p w:rsidR="00F820E4" w:rsidRPr="00B73F5E" w:rsidRDefault="00F820E4">
      <w:pPr>
        <w:rPr>
          <w:rFonts w:ascii="Garamond" w:hAnsi="Garamond"/>
        </w:rPr>
      </w:pPr>
    </w:p>
    <w:p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environmental organizations</w:t>
      </w:r>
      <w:r w:rsidR="00D507CC">
        <w:rPr>
          <w:rFonts w:ascii="Garamond" w:hAnsi="Garamond"/>
        </w:rPr>
        <w:t>, and interested parties</w:t>
      </w:r>
      <w:r w:rsidR="00F820E4">
        <w:rPr>
          <w:rFonts w:ascii="Garamond" w:hAnsi="Garamond"/>
        </w:rPr>
        <w:t xml:space="preserve">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Default="007963C2" w:rsidP="00F820E4">
      <w:pPr>
        <w:spacing w:after="120"/>
        <w:rPr>
          <w:rFonts w:ascii="Garamond" w:hAnsi="Garamond"/>
          <w:b/>
        </w:rPr>
      </w:pPr>
    </w:p>
    <w:p w:rsidR="00E85F02" w:rsidRDefault="002B4E3C" w:rsidP="00F820E4">
      <w:pPr>
        <w:spacing w:after="12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Q</w:t>
      </w:r>
      <w:r w:rsidR="00AF4F31">
        <w:rPr>
          <w:rFonts w:ascii="Garamond" w:hAnsi="Garamond"/>
          <w:b/>
        </w:rPr>
        <w:t>1</w:t>
      </w:r>
      <w:r w:rsidR="009E60C0">
        <w:rPr>
          <w:rFonts w:ascii="Garamond" w:hAnsi="Garamond"/>
          <w:b/>
        </w:rPr>
        <w:t xml:space="preserve">1 </w:t>
      </w:r>
      <w:r w:rsidR="003F4F96">
        <w:rPr>
          <w:rFonts w:ascii="Garamond" w:hAnsi="Garamond"/>
          <w:b/>
        </w:rPr>
        <w:t xml:space="preserve"> Meeting</w:t>
      </w:r>
      <w:proofErr w:type="gramEnd"/>
      <w:r w:rsidR="003F4F96">
        <w:rPr>
          <w:rFonts w:ascii="Garamond" w:hAnsi="Garamond"/>
          <w:b/>
        </w:rPr>
        <w:t xml:space="preserve"> Schedule</w:t>
      </w:r>
      <w:r w:rsidR="00290250" w:rsidRPr="00B73F5E">
        <w:rPr>
          <w:rFonts w:ascii="Garamond" w:hAnsi="Garamond"/>
          <w:b/>
        </w:rPr>
        <w:t>:</w:t>
      </w:r>
    </w:p>
    <w:tbl>
      <w:tblPr>
        <w:tblW w:w="9810" w:type="dxa"/>
        <w:tblInd w:w="-252" w:type="dxa"/>
        <w:tblLook w:val="04A0"/>
      </w:tblPr>
      <w:tblGrid>
        <w:gridCol w:w="694"/>
        <w:gridCol w:w="236"/>
        <w:gridCol w:w="960"/>
        <w:gridCol w:w="236"/>
        <w:gridCol w:w="498"/>
        <w:gridCol w:w="706"/>
        <w:gridCol w:w="720"/>
        <w:gridCol w:w="810"/>
        <w:gridCol w:w="270"/>
        <w:gridCol w:w="720"/>
        <w:gridCol w:w="720"/>
        <w:gridCol w:w="720"/>
        <w:gridCol w:w="270"/>
        <w:gridCol w:w="720"/>
        <w:gridCol w:w="810"/>
        <w:gridCol w:w="720"/>
      </w:tblGrid>
      <w:tr w:rsidR="009A4226" w:rsidRPr="00846D5A" w:rsidTr="00390FE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1:Z16"/>
            <w:bookmarkStart w:id="1" w:name="RANGE!A11:AD15"/>
            <w:bookmarkEnd w:id="0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color w:val="FFFFFF"/>
                <w:sz w:val="22"/>
                <w:szCs w:val="22"/>
              </w:rPr>
              <w:t>Jan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color w:val="FFFFFF"/>
                <w:sz w:val="22"/>
                <w:szCs w:val="22"/>
              </w:rPr>
              <w:t>Feb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color w:val="FFFFFF"/>
                <w:sz w:val="22"/>
                <w:szCs w:val="22"/>
              </w:rPr>
              <w:t>Mar</w:t>
            </w:r>
          </w:p>
        </w:tc>
      </w:tr>
      <w:tr w:rsidR="009A4226" w:rsidRPr="00846D5A" w:rsidTr="00390FEC">
        <w:trPr>
          <w:trHeight w:val="300"/>
        </w:trPr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6D5A" w:rsidRPr="009A4226" w:rsidRDefault="00846D5A" w:rsidP="00846D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A42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</w:tr>
      <w:tr w:rsidR="009A4226" w:rsidRPr="00846D5A" w:rsidTr="00390FEC">
        <w:trPr>
          <w:trHeight w:val="300"/>
        </w:trPr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D5A" w:rsidRPr="00846D5A" w:rsidRDefault="00846D5A" w:rsidP="00846D5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D5A" w:rsidRPr="00846D5A" w:rsidRDefault="00846D5A" w:rsidP="00846D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9A4226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7, </w:t>
            </w:r>
            <w:r w:rsidR="00846D5A"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9A4226" w:rsidP="009A422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13, </w:t>
            </w:r>
            <w:r w:rsidR="00846D5A"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846D5A" w:rsidRPr="00846D5A" w:rsidRDefault="009A4226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9, </w:t>
            </w:r>
            <w:r w:rsidR="00846D5A"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846D5A" w:rsidRPr="00846D5A" w:rsidRDefault="009A4226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9, </w:t>
            </w:r>
            <w:r w:rsidR="00846D5A"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25</w:t>
            </w:r>
          </w:p>
        </w:tc>
      </w:tr>
      <w:tr w:rsidR="009A4226" w:rsidRPr="00846D5A" w:rsidTr="00390FEC">
        <w:trPr>
          <w:trHeight w:val="300"/>
        </w:trPr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D5A" w:rsidRPr="00846D5A" w:rsidRDefault="00846D5A" w:rsidP="00846D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D87CDE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226" w:rsidRPr="00846D5A" w:rsidTr="00390FEC">
        <w:trPr>
          <w:trHeight w:val="300"/>
        </w:trPr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46D5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D5A" w:rsidRPr="00846D5A" w:rsidRDefault="00846D5A" w:rsidP="00846D5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D87CDE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46D5A" w:rsidRPr="00846D5A" w:rsidRDefault="00846D5A" w:rsidP="00846D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5A" w:rsidRPr="00846D5A" w:rsidRDefault="00846D5A" w:rsidP="00846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FE0CB8" w:rsidRPr="00B73F5E" w:rsidRDefault="00FE0CB8">
      <w:pPr>
        <w:rPr>
          <w:rFonts w:ascii="Garamond" w:hAnsi="Garamond"/>
          <w:b/>
          <w:bCs/>
        </w:rPr>
      </w:pPr>
    </w:p>
    <w:p w:rsidR="00085CE1" w:rsidRPr="00B73F5E" w:rsidRDefault="00F820E4" w:rsidP="009A4226">
      <w:pPr>
        <w:tabs>
          <w:tab w:val="left" w:pos="5364"/>
        </w:tabs>
        <w:rPr>
          <w:rFonts w:ascii="Garamond" w:hAnsi="Garamond"/>
          <w:b/>
        </w:rPr>
      </w:pPr>
      <w:bookmarkStart w:id="2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  <w:r w:rsidR="009A4226">
        <w:rPr>
          <w:rFonts w:ascii="Garamond" w:hAnsi="Garamond"/>
          <w:b/>
        </w:rPr>
        <w:tab/>
      </w:r>
    </w:p>
    <w:bookmarkEnd w:id="2"/>
    <w:p w:rsidR="00495B4F" w:rsidRDefault="00D70646" w:rsidP="00495B4F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 xml:space="preserve">oject </w:t>
      </w:r>
      <w:r w:rsidR="00500115">
        <w:rPr>
          <w:rFonts w:ascii="Garamond" w:hAnsi="Garamond"/>
        </w:rPr>
        <w:t>facilitator Chris Page</w:t>
      </w:r>
      <w:r w:rsidR="00255BC5">
        <w:rPr>
          <w:rFonts w:ascii="Garamond" w:hAnsi="Garamond"/>
        </w:rPr>
        <w:t xml:space="preserve"> </w:t>
      </w:r>
      <w:r w:rsidR="006A71BB">
        <w:rPr>
          <w:rFonts w:ascii="Garamond" w:hAnsi="Garamond"/>
        </w:rPr>
        <w:t>develop</w:t>
      </w:r>
      <w:r w:rsidR="00983D52">
        <w:rPr>
          <w:rFonts w:ascii="Garamond" w:hAnsi="Garamond"/>
        </w:rPr>
        <w:t xml:space="preserve">ed meeting agendas </w:t>
      </w:r>
      <w:r w:rsidR="00656103">
        <w:rPr>
          <w:rFonts w:ascii="Garamond" w:hAnsi="Garamond"/>
        </w:rPr>
        <w:t>for</w:t>
      </w:r>
      <w:r w:rsidR="004A02F1">
        <w:rPr>
          <w:rFonts w:ascii="Garamond" w:hAnsi="Garamond"/>
        </w:rPr>
        <w:t xml:space="preserve"> </w:t>
      </w:r>
      <w:r w:rsidR="00D555DA">
        <w:rPr>
          <w:rFonts w:ascii="Garamond" w:hAnsi="Garamond"/>
        </w:rPr>
        <w:t xml:space="preserve">eleven </w:t>
      </w:r>
      <w:r w:rsidR="00500115">
        <w:rPr>
          <w:rFonts w:ascii="Garamond" w:hAnsi="Garamond"/>
        </w:rPr>
        <w:t xml:space="preserve">meetings, </w:t>
      </w:r>
      <w:r w:rsidR="004A02F1">
        <w:rPr>
          <w:rFonts w:ascii="Garamond" w:hAnsi="Garamond"/>
        </w:rPr>
        <w:t>including t</w:t>
      </w:r>
      <w:r w:rsidR="00D555DA">
        <w:rPr>
          <w:rFonts w:ascii="Garamond" w:hAnsi="Garamond"/>
        </w:rPr>
        <w:t>wo</w:t>
      </w:r>
      <w:r w:rsidR="004A02F1">
        <w:rPr>
          <w:rFonts w:ascii="Garamond" w:hAnsi="Garamond"/>
        </w:rPr>
        <w:t xml:space="preserve"> </w:t>
      </w:r>
      <w:r w:rsidR="00743196">
        <w:rPr>
          <w:rFonts w:ascii="Garamond" w:hAnsi="Garamond"/>
        </w:rPr>
        <w:t xml:space="preserve">Task </w:t>
      </w:r>
      <w:r w:rsidR="00F76D9A">
        <w:rPr>
          <w:rFonts w:ascii="Garamond" w:hAnsi="Garamond"/>
        </w:rPr>
        <w:t>Force meetings</w:t>
      </w:r>
      <w:r w:rsidR="009B1CB2">
        <w:rPr>
          <w:rFonts w:ascii="Garamond" w:hAnsi="Garamond"/>
        </w:rPr>
        <w:t xml:space="preserve"> and </w:t>
      </w:r>
      <w:r w:rsidR="00DB6444">
        <w:rPr>
          <w:rFonts w:ascii="Garamond" w:hAnsi="Garamond"/>
        </w:rPr>
        <w:t>three</w:t>
      </w:r>
      <w:r w:rsidR="004A02F1">
        <w:rPr>
          <w:rFonts w:ascii="Garamond" w:hAnsi="Garamond"/>
        </w:rPr>
        <w:t xml:space="preserve"> T</w:t>
      </w:r>
      <w:r w:rsidR="005B7A1F">
        <w:rPr>
          <w:rFonts w:ascii="Garamond" w:hAnsi="Garamond"/>
        </w:rPr>
        <w:t>echnical Track Work Group</w:t>
      </w:r>
      <w:r w:rsidR="00871107">
        <w:rPr>
          <w:rFonts w:ascii="Garamond" w:hAnsi="Garamond"/>
        </w:rPr>
        <w:t xml:space="preserve"> </w:t>
      </w:r>
      <w:r w:rsidR="00656103">
        <w:rPr>
          <w:rFonts w:ascii="Garamond" w:hAnsi="Garamond"/>
        </w:rPr>
        <w:t xml:space="preserve">(TTWG) </w:t>
      </w:r>
      <w:r w:rsidR="00871107">
        <w:rPr>
          <w:rFonts w:ascii="Garamond" w:hAnsi="Garamond"/>
        </w:rPr>
        <w:t>meetings</w:t>
      </w:r>
      <w:r w:rsidR="00D555DA">
        <w:rPr>
          <w:rFonts w:ascii="Garamond" w:hAnsi="Garamond"/>
        </w:rPr>
        <w:t>, and six Memorandum of Agreement (MOA) Work Group Meetings.</w:t>
      </w:r>
      <w:r w:rsidR="00656103">
        <w:rPr>
          <w:rFonts w:ascii="Garamond" w:hAnsi="Garamond"/>
        </w:rPr>
        <w:t xml:space="preserve"> Chris facilitated</w:t>
      </w:r>
      <w:r w:rsidR="00781603">
        <w:rPr>
          <w:rFonts w:ascii="Garamond" w:hAnsi="Garamond"/>
        </w:rPr>
        <w:t xml:space="preserve"> </w:t>
      </w:r>
      <w:r w:rsidR="00495B4F">
        <w:rPr>
          <w:rFonts w:ascii="Garamond" w:hAnsi="Garamond"/>
        </w:rPr>
        <w:t>eleven</w:t>
      </w:r>
      <w:r w:rsidR="000560AD">
        <w:rPr>
          <w:rFonts w:ascii="Garamond" w:hAnsi="Garamond"/>
        </w:rPr>
        <w:t xml:space="preserve"> meetings inc</w:t>
      </w:r>
      <w:r w:rsidR="00495B4F">
        <w:rPr>
          <w:rFonts w:ascii="Garamond" w:hAnsi="Garamond"/>
        </w:rPr>
        <w:t xml:space="preserve">luding Task Force, TTWG and 6 </w:t>
      </w:r>
      <w:r w:rsidR="000560AD">
        <w:rPr>
          <w:rFonts w:ascii="Garamond" w:hAnsi="Garamond"/>
        </w:rPr>
        <w:t>Memorandum of Agreement (MOA) work group meetings</w:t>
      </w:r>
      <w:r w:rsidR="00CF7550">
        <w:rPr>
          <w:rFonts w:ascii="Garamond" w:hAnsi="Garamond"/>
        </w:rPr>
        <w:t xml:space="preserve">. </w:t>
      </w:r>
      <w:r w:rsidR="0075799C">
        <w:rPr>
          <w:rFonts w:ascii="Garamond" w:hAnsi="Garamond"/>
        </w:rPr>
        <w:t xml:space="preserve">Chris Page and Kara Whitman assisted with facilitation and coordination of the 2 day January Workshop (WS). </w:t>
      </w:r>
      <w:r w:rsidR="00D02635" w:rsidRPr="004A02F1">
        <w:rPr>
          <w:rFonts w:ascii="Garamond" w:hAnsi="Garamond"/>
        </w:rPr>
        <w:t>M</w:t>
      </w:r>
      <w:r w:rsidR="00983D52" w:rsidRPr="004A02F1">
        <w:rPr>
          <w:rFonts w:ascii="Garamond" w:hAnsi="Garamond"/>
        </w:rPr>
        <w:t xml:space="preserve">eeting notices, </w:t>
      </w:r>
      <w:r w:rsidR="00F76D9A" w:rsidRPr="004A02F1">
        <w:rPr>
          <w:rFonts w:ascii="Garamond" w:hAnsi="Garamond"/>
        </w:rPr>
        <w:t>agendas and materials</w:t>
      </w:r>
      <w:r w:rsidR="003F4F96" w:rsidRPr="004A02F1">
        <w:rPr>
          <w:rFonts w:ascii="Garamond" w:hAnsi="Garamond"/>
        </w:rPr>
        <w:t>, and summaries</w:t>
      </w:r>
      <w:r w:rsidR="00D02635" w:rsidRPr="004A02F1">
        <w:rPr>
          <w:rFonts w:ascii="Garamond" w:hAnsi="Garamond"/>
        </w:rPr>
        <w:t xml:space="preserve"> </w:t>
      </w:r>
      <w:r w:rsidR="003F4F96">
        <w:rPr>
          <w:rFonts w:ascii="Garamond" w:hAnsi="Garamond"/>
        </w:rPr>
        <w:t>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</w:t>
      </w:r>
      <w:r w:rsidR="00F758EB">
        <w:rPr>
          <w:rFonts w:ascii="Garamond" w:hAnsi="Garamond"/>
        </w:rPr>
        <w:t xml:space="preserve"> </w:t>
      </w:r>
      <w:r w:rsidR="00DB6444">
        <w:rPr>
          <w:rFonts w:ascii="Garamond" w:hAnsi="Garamond"/>
        </w:rPr>
        <w:t>Kara Whitman</w:t>
      </w:r>
      <w:r w:rsidR="002918B8">
        <w:rPr>
          <w:rFonts w:ascii="Garamond" w:hAnsi="Garamond"/>
        </w:rPr>
        <w:t>.</w:t>
      </w:r>
    </w:p>
    <w:p w:rsidR="00495B4F" w:rsidRDefault="00DB6444" w:rsidP="00495B4F">
      <w:pPr>
        <w:numPr>
          <w:ilvl w:val="0"/>
          <w:numId w:val="13"/>
        </w:numPr>
        <w:rPr>
          <w:rFonts w:ascii="Garamond" w:hAnsi="Garamond"/>
        </w:rPr>
      </w:pPr>
      <w:r w:rsidRPr="00495B4F">
        <w:rPr>
          <w:rFonts w:ascii="Garamond" w:hAnsi="Garamond"/>
          <w:b/>
        </w:rPr>
        <w:t>Synoptic Sampling</w:t>
      </w:r>
      <w:r w:rsidR="000560AD" w:rsidRPr="00495B4F">
        <w:rPr>
          <w:rFonts w:ascii="Garamond" w:hAnsi="Garamond"/>
          <w:b/>
        </w:rPr>
        <w:t xml:space="preserve"> and January 2015 PCB Workshop</w:t>
      </w:r>
      <w:r w:rsidR="00891E02" w:rsidRPr="00495B4F">
        <w:rPr>
          <w:rFonts w:ascii="Garamond" w:hAnsi="Garamond"/>
          <w:b/>
        </w:rPr>
        <w:t>:</w:t>
      </w:r>
      <w:r w:rsidR="00424FB3" w:rsidRPr="00495B4F">
        <w:rPr>
          <w:rFonts w:ascii="Garamond" w:hAnsi="Garamond"/>
        </w:rPr>
        <w:t xml:space="preserve"> </w:t>
      </w:r>
      <w:r w:rsidR="00495B4F" w:rsidRPr="00495B4F">
        <w:rPr>
          <w:rFonts w:ascii="Garamond" w:eastAsia="Garamond" w:hAnsi="Garamond" w:cs="Garamond"/>
        </w:rPr>
        <w:t xml:space="preserve">The Center assisted </w:t>
      </w:r>
      <w:r w:rsidR="00495B4F">
        <w:rPr>
          <w:rFonts w:ascii="Garamond" w:eastAsia="Garamond" w:hAnsi="Garamond" w:cs="Garamond"/>
        </w:rPr>
        <w:t>in organizing and facilitating the</w:t>
      </w:r>
      <w:r w:rsidR="00495B4F" w:rsidRPr="00495B4F">
        <w:rPr>
          <w:rFonts w:ascii="Garamond" w:eastAsia="Garamond" w:hAnsi="Garamond" w:cs="Garamond"/>
        </w:rPr>
        <w:t xml:space="preserve"> two-day technical workshop in January 2015</w:t>
      </w:r>
      <w:r w:rsidR="00495B4F">
        <w:rPr>
          <w:rFonts w:ascii="Garamond" w:eastAsia="Garamond" w:hAnsi="Garamond" w:cs="Garamond"/>
        </w:rPr>
        <w:t xml:space="preserve">. </w:t>
      </w:r>
      <w:r w:rsidR="00495B4F" w:rsidRPr="00495B4F">
        <w:rPr>
          <w:rFonts w:ascii="Garamond" w:eastAsia="Garamond" w:hAnsi="Garamond" w:cs="Garamond"/>
        </w:rPr>
        <w:t xml:space="preserve">The Center enlisted two volunteer graduate students from the WSU School of the Environment to assist with logistics including webinar and live polling services. </w:t>
      </w:r>
    </w:p>
    <w:p w:rsidR="003F4F96" w:rsidRPr="00495B4F" w:rsidRDefault="001F5924" w:rsidP="003F4F96">
      <w:pPr>
        <w:numPr>
          <w:ilvl w:val="0"/>
          <w:numId w:val="13"/>
        </w:numPr>
        <w:rPr>
          <w:rFonts w:ascii="Garamond" w:hAnsi="Garamond"/>
        </w:rPr>
      </w:pPr>
      <w:r w:rsidRPr="00495B4F">
        <w:rPr>
          <w:rFonts w:ascii="Garamond" w:hAnsi="Garamond"/>
          <w:b/>
        </w:rPr>
        <w:t>MOA and Transparency</w:t>
      </w:r>
      <w:r w:rsidR="00D70646" w:rsidRPr="00495B4F">
        <w:rPr>
          <w:rFonts w:ascii="Garamond" w:hAnsi="Garamond"/>
          <w:b/>
        </w:rPr>
        <w:t>:</w:t>
      </w:r>
      <w:r w:rsidR="002B4E3C" w:rsidRPr="00495B4F">
        <w:rPr>
          <w:rFonts w:ascii="Garamond" w:hAnsi="Garamond"/>
          <w:b/>
        </w:rPr>
        <w:t xml:space="preserve"> </w:t>
      </w:r>
      <w:r w:rsidR="00495B4F" w:rsidRPr="00495B4F">
        <w:rPr>
          <w:rFonts w:ascii="Garamond" w:eastAsia="Garamond" w:hAnsi="Garamond" w:cs="Garamond"/>
        </w:rPr>
        <w:t>The Center continued to coordinate and facilitate t</w:t>
      </w:r>
      <w:r w:rsidR="00267A55">
        <w:rPr>
          <w:rFonts w:ascii="Garamond" w:eastAsia="Garamond" w:hAnsi="Garamond" w:cs="Garamond"/>
        </w:rPr>
        <w:t>he work of MOA Work Group</w:t>
      </w:r>
      <w:r w:rsidR="00495B4F" w:rsidRPr="00495B4F">
        <w:rPr>
          <w:rFonts w:ascii="Garamond" w:eastAsia="Garamond" w:hAnsi="Garamond" w:cs="Garamond"/>
        </w:rPr>
        <w:t xml:space="preserve">. </w:t>
      </w:r>
      <w:r w:rsidR="00495B4F" w:rsidRPr="00495B4F">
        <w:rPr>
          <w:rFonts w:ascii="Garamond" w:hAnsi="Garamond"/>
        </w:rPr>
        <w:t xml:space="preserve"> The center </w:t>
      </w:r>
      <w:r w:rsidR="00A63568" w:rsidRPr="00495B4F">
        <w:rPr>
          <w:rFonts w:ascii="Garamond" w:hAnsi="Garamond"/>
        </w:rPr>
        <w:t xml:space="preserve">scheduled </w:t>
      </w:r>
      <w:r w:rsidR="00495B4F" w:rsidRPr="00495B4F">
        <w:rPr>
          <w:rFonts w:ascii="Garamond" w:hAnsi="Garamond"/>
        </w:rPr>
        <w:t xml:space="preserve">and facilitated </w:t>
      </w:r>
      <w:r w:rsidR="00A63568" w:rsidRPr="00495B4F">
        <w:rPr>
          <w:rFonts w:ascii="Garamond" w:hAnsi="Garamond"/>
        </w:rPr>
        <w:t>meetings</w:t>
      </w:r>
      <w:r w:rsidR="00495B4F" w:rsidRPr="00495B4F">
        <w:rPr>
          <w:rFonts w:ascii="Garamond" w:hAnsi="Garamond"/>
        </w:rPr>
        <w:t>, developed agendas, and updated MOA versions and meeting summaries on the Task Force website.</w:t>
      </w:r>
      <w:r w:rsidR="00A63568" w:rsidRPr="00495B4F">
        <w:rPr>
          <w:rFonts w:ascii="Garamond" w:hAnsi="Garamond"/>
        </w:rPr>
        <w:t xml:space="preserve"> </w:t>
      </w:r>
    </w:p>
    <w:p w:rsidR="00C01ADC" w:rsidRPr="00285244" w:rsidRDefault="00D70646" w:rsidP="0028524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1F5924">
        <w:rPr>
          <w:rFonts w:ascii="Garamond" w:hAnsi="Garamond"/>
        </w:rPr>
        <w:t xml:space="preserve">Kara Whitman </w:t>
      </w:r>
      <w:r w:rsidR="00983D52">
        <w:rPr>
          <w:rFonts w:ascii="Garamond" w:hAnsi="Garamond"/>
        </w:rPr>
        <w:t xml:space="preserve">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D02635">
        <w:rPr>
          <w:rFonts w:ascii="Garamond" w:hAnsi="Garamond"/>
        </w:rPr>
        <w:t xml:space="preserve">or the </w:t>
      </w:r>
      <w:r w:rsidR="00983D52">
        <w:rPr>
          <w:rFonts w:ascii="Garamond" w:hAnsi="Garamond"/>
        </w:rPr>
        <w:t>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>his included 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 xml:space="preserve">, and meeting </w:t>
      </w:r>
      <w:r w:rsidR="00BB3D4F">
        <w:rPr>
          <w:rFonts w:ascii="Garamond" w:hAnsi="Garamond"/>
        </w:rPr>
        <w:lastRenderedPageBreak/>
        <w:t>summaries</w:t>
      </w:r>
      <w:r w:rsidR="00663B88">
        <w:rPr>
          <w:rFonts w:ascii="Garamond" w:hAnsi="Garamond"/>
        </w:rPr>
        <w:t>—and also encompasses the documentation of the annual accomplish</w:t>
      </w:r>
      <w:r w:rsidR="00792174">
        <w:rPr>
          <w:rFonts w:ascii="Garamond" w:hAnsi="Garamond"/>
        </w:rPr>
        <w:t>ments of the Task Force for 2014</w:t>
      </w:r>
      <w:r w:rsidR="00663B88">
        <w:rPr>
          <w:rFonts w:ascii="Garamond" w:hAnsi="Garamond"/>
        </w:rPr>
        <w:t>.</w:t>
      </w:r>
    </w:p>
    <w:p w:rsidR="00C01ADC" w:rsidRDefault="00C01ADC" w:rsidP="00C01ADC">
      <w:pPr>
        <w:pStyle w:val="ListParagraph"/>
        <w:rPr>
          <w:rFonts w:ascii="Garamond" w:hAnsi="Garamond"/>
        </w:rPr>
      </w:pPr>
    </w:p>
    <w:p w:rsidR="00AB6174" w:rsidRDefault="00C01ADC" w:rsidP="00424FB3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Technical Advisor: </w:t>
      </w:r>
      <w:r>
        <w:rPr>
          <w:rFonts w:ascii="Garamond" w:hAnsi="Garamond"/>
        </w:rPr>
        <w:t xml:space="preserve">The Task Force worked with the Technical Advisor </w:t>
      </w:r>
      <w:r w:rsidR="00D507CC">
        <w:rPr>
          <w:rFonts w:ascii="Garamond" w:hAnsi="Garamond"/>
        </w:rPr>
        <w:t>(</w:t>
      </w:r>
      <w:r>
        <w:rPr>
          <w:rFonts w:ascii="Garamond" w:hAnsi="Garamond"/>
        </w:rPr>
        <w:t>Limno</w:t>
      </w:r>
      <w:r w:rsidR="00285244">
        <w:rPr>
          <w:rFonts w:ascii="Garamond" w:hAnsi="Garamond"/>
        </w:rPr>
        <w:t>Tech</w:t>
      </w:r>
      <w:r w:rsidR="00D507CC">
        <w:rPr>
          <w:rFonts w:ascii="Garamond" w:hAnsi="Garamond"/>
        </w:rPr>
        <w:t>)</w:t>
      </w:r>
      <w:r w:rsidR="00285244">
        <w:rPr>
          <w:rFonts w:ascii="Garamond" w:hAnsi="Garamond"/>
        </w:rPr>
        <w:t xml:space="preserve"> to </w:t>
      </w:r>
      <w:r w:rsidR="00663B88">
        <w:rPr>
          <w:rFonts w:ascii="Garamond" w:hAnsi="Garamond"/>
        </w:rPr>
        <w:t>assist in Task Force understanding of technical issues and to ensure that presentations and reports get adequately vetted before meetings.</w:t>
      </w:r>
    </w:p>
    <w:p w:rsidR="000F5C14" w:rsidRDefault="000F5C14" w:rsidP="00495B4F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Fish Hatcheries</w:t>
      </w:r>
      <w:r w:rsidR="000560AD">
        <w:rPr>
          <w:rFonts w:ascii="Garamond" w:hAnsi="Garamond"/>
          <w:b/>
        </w:rPr>
        <w:t>:</w:t>
      </w:r>
      <w:r w:rsidR="000560AD">
        <w:rPr>
          <w:rFonts w:ascii="Garamond" w:hAnsi="Garamond"/>
        </w:rPr>
        <w:t xml:space="preserve"> </w:t>
      </w:r>
      <w:r w:rsidR="00DD6220">
        <w:rPr>
          <w:rFonts w:ascii="Garamond" w:hAnsi="Garamond"/>
        </w:rPr>
        <w:t xml:space="preserve">The Center assisted </w:t>
      </w:r>
      <w:r>
        <w:rPr>
          <w:rFonts w:ascii="Garamond" w:hAnsi="Garamond"/>
        </w:rPr>
        <w:t xml:space="preserve">the Task Force in identifying and contacting appropriate parties in Washington State the Fish Hatcheries operations that interact with the Spokane River. </w:t>
      </w:r>
    </w:p>
    <w:p w:rsidR="00495B4F" w:rsidRPr="00A40361" w:rsidRDefault="000F5C14" w:rsidP="00655074">
      <w:pPr>
        <w:numPr>
          <w:ilvl w:val="0"/>
          <w:numId w:val="13"/>
        </w:numPr>
        <w:rPr>
          <w:rFonts w:ascii="Garamond" w:hAnsi="Garamond"/>
          <w:b/>
        </w:rPr>
      </w:pPr>
      <w:r w:rsidRPr="00A40361">
        <w:rPr>
          <w:rFonts w:ascii="Garamond" w:hAnsi="Garamond"/>
          <w:b/>
        </w:rPr>
        <w:t>Outreach:</w:t>
      </w:r>
      <w:r w:rsidRPr="00A40361">
        <w:rPr>
          <w:rFonts w:ascii="Garamond" w:hAnsi="Garamond"/>
        </w:rPr>
        <w:t xml:space="preserve"> The Center highlighted the work of the Task Force in the Center’s</w:t>
      </w:r>
      <w:commentRangeStart w:id="3"/>
      <w:r w:rsidRPr="00A40361">
        <w:rPr>
          <w:rFonts w:ascii="Garamond" w:hAnsi="Garamond"/>
        </w:rPr>
        <w:t xml:space="preserve"> </w:t>
      </w:r>
      <w:r w:rsidRPr="00A40361">
        <w:rPr>
          <w:rFonts w:ascii="Garamond" w:hAnsi="Garamond"/>
          <w:highlight w:val="yellow"/>
        </w:rPr>
        <w:t>_____</w:t>
      </w:r>
      <w:r w:rsidRPr="00A40361">
        <w:rPr>
          <w:rFonts w:ascii="Garamond" w:hAnsi="Garamond"/>
        </w:rPr>
        <w:t xml:space="preserve"> </w:t>
      </w:r>
      <w:commentRangeEnd w:id="3"/>
      <w:r>
        <w:rPr>
          <w:rStyle w:val="CommentReference"/>
        </w:rPr>
        <w:commentReference w:id="3"/>
      </w:r>
      <w:r w:rsidRPr="00A40361">
        <w:rPr>
          <w:rFonts w:ascii="Garamond" w:hAnsi="Garamond"/>
        </w:rPr>
        <w:t xml:space="preserve">and the Washington State University Academic Showcase. </w:t>
      </w:r>
    </w:p>
    <w:p w:rsidR="00495B4F" w:rsidRPr="00655074" w:rsidRDefault="00495B4F" w:rsidP="00655074">
      <w:pPr>
        <w:numPr>
          <w:ilvl w:val="0"/>
          <w:numId w:val="13"/>
        </w:numPr>
        <w:rPr>
          <w:rFonts w:ascii="Garamond" w:hAnsi="Garamond"/>
        </w:rPr>
      </w:pPr>
      <w:r w:rsidRPr="00A40361">
        <w:rPr>
          <w:rFonts w:ascii="Garamond" w:hAnsi="Garamond"/>
          <w:b/>
        </w:rPr>
        <w:t>Mid Point Assessment:</w:t>
      </w:r>
      <w:r w:rsidRPr="00A40361">
        <w:rPr>
          <w:rFonts w:ascii="Garamond" w:hAnsi="Garamond"/>
        </w:rPr>
        <w:t xml:space="preserve"> </w:t>
      </w:r>
      <w:r w:rsidRPr="00A40361">
        <w:rPr>
          <w:rFonts w:ascii="Garamond"/>
        </w:rPr>
        <w:t>Project facilitator Chris Page conducted a mid-point assessment to gauge progres</w:t>
      </w:r>
      <w:r w:rsidRPr="00A40361">
        <w:rPr>
          <w:rFonts w:ascii="Garamond"/>
          <w:spacing w:val="-22"/>
        </w:rPr>
        <w:t xml:space="preserve">s </w:t>
      </w:r>
      <w:r w:rsidRPr="00A40361">
        <w:rPr>
          <w:rFonts w:ascii="Garamond"/>
        </w:rPr>
        <w:t>the Task Force has made toward achieving the goals and objectives outlined in its MOA</w:t>
      </w:r>
      <w:r w:rsidRPr="00A40361">
        <w:rPr>
          <w:rFonts w:ascii="Garamond"/>
          <w:spacing w:val="-25"/>
        </w:rPr>
        <w:t xml:space="preserve">. </w:t>
      </w:r>
      <w:r w:rsidRPr="00A40361">
        <w:rPr>
          <w:rFonts w:ascii="Garamond"/>
        </w:rPr>
        <w:t>Thi</w:t>
      </w:r>
      <w:r w:rsidRPr="00A40361">
        <w:rPr>
          <w:rFonts w:ascii="Garamond"/>
          <w:spacing w:val="-1"/>
        </w:rPr>
        <w:t xml:space="preserve">s </w:t>
      </w:r>
      <w:r w:rsidRPr="00A40361">
        <w:rPr>
          <w:rFonts w:ascii="Garamond"/>
        </w:rPr>
        <w:t>assessment will provide information as to how the Center can improve its services</w:t>
      </w:r>
      <w:r w:rsidR="00792174">
        <w:rPr>
          <w:rFonts w:ascii="Garamond"/>
        </w:rPr>
        <w:t xml:space="preserve"> provided to the Task </w:t>
      </w:r>
      <w:r w:rsidR="00452B06">
        <w:rPr>
          <w:rFonts w:ascii="Garamond"/>
        </w:rPr>
        <w:t xml:space="preserve">Force </w:t>
      </w:r>
      <w:r w:rsidR="00452B06" w:rsidRPr="00A40361">
        <w:rPr>
          <w:rFonts w:ascii="Garamond"/>
          <w:spacing w:val="-30"/>
        </w:rPr>
        <w:t>and</w:t>
      </w:r>
      <w:r w:rsidRPr="00A40361">
        <w:rPr>
          <w:rFonts w:ascii="Garamond"/>
          <w:spacing w:val="-1"/>
        </w:rPr>
        <w:t xml:space="preserve"> </w:t>
      </w:r>
      <w:r w:rsidRPr="00A40361">
        <w:rPr>
          <w:rFonts w:ascii="Garamond"/>
        </w:rPr>
        <w:t>build on existing systems and accomplishments t</w:t>
      </w:r>
      <w:r w:rsidRPr="00A40361">
        <w:rPr>
          <w:rFonts w:ascii="Garamond"/>
          <w:spacing w:val="-4"/>
        </w:rPr>
        <w:t xml:space="preserve">o </w:t>
      </w:r>
      <w:r w:rsidRPr="00A40361">
        <w:rPr>
          <w:rFonts w:ascii="Garamond"/>
        </w:rPr>
        <w:t>date</w:t>
      </w:r>
      <w:r w:rsidRPr="00A40361">
        <w:rPr>
          <w:rFonts w:ascii="Garamond" w:hAnsi="Garamond"/>
        </w:rPr>
        <w:t>.</w:t>
      </w:r>
    </w:p>
    <w:p w:rsidR="00085CE1" w:rsidRPr="00346C63" w:rsidRDefault="00AB6174" w:rsidP="00346C63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:rsidR="0058163E" w:rsidRDefault="00285244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</w:t>
      </w:r>
      <w:r w:rsidR="0058163E">
        <w:rPr>
          <w:rFonts w:ascii="Garamond" w:hAnsi="Garamond"/>
        </w:rPr>
        <w:t>work groups will conti</w:t>
      </w:r>
      <w:r w:rsidR="00655074">
        <w:rPr>
          <w:rFonts w:ascii="Garamond" w:hAnsi="Garamond"/>
        </w:rPr>
        <w:t>nue to meet on a monthly basis</w:t>
      </w:r>
      <w:r w:rsidR="00B44A4D">
        <w:rPr>
          <w:rFonts w:ascii="Garamond" w:hAnsi="Garamond"/>
        </w:rPr>
        <w:t>.</w:t>
      </w:r>
    </w:p>
    <w:p w:rsidR="00494B38" w:rsidRDefault="00346C63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will continue to work with the </w:t>
      </w:r>
      <w:r w:rsidR="00AB6174">
        <w:rPr>
          <w:rFonts w:ascii="Garamond" w:hAnsi="Garamond"/>
        </w:rPr>
        <w:t>Technical Consultant</w:t>
      </w:r>
      <w:r>
        <w:rPr>
          <w:rFonts w:ascii="Garamond" w:hAnsi="Garamond"/>
        </w:rPr>
        <w:t xml:space="preserve"> on</w:t>
      </w:r>
      <w:r w:rsidR="00285244">
        <w:rPr>
          <w:rFonts w:ascii="Garamond" w:hAnsi="Garamond"/>
        </w:rPr>
        <w:t xml:space="preserve"> completing assigned Tasks</w:t>
      </w:r>
      <w:r w:rsidR="00D507CC">
        <w:rPr>
          <w:rFonts w:ascii="Garamond" w:hAnsi="Garamond"/>
        </w:rPr>
        <w:t xml:space="preserve"> as well as on Phase Two of the Technical Consultant’s work</w:t>
      </w:r>
      <w:r w:rsidR="00AB6174">
        <w:rPr>
          <w:rFonts w:ascii="Garamond" w:hAnsi="Garamond"/>
        </w:rPr>
        <w:t>.</w:t>
      </w:r>
    </w:p>
    <w:p w:rsidR="00A40361" w:rsidRDefault="00A40361" w:rsidP="00A40361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792174">
        <w:rPr>
          <w:rFonts w:ascii="Garamond" w:hAnsi="Garamond"/>
        </w:rPr>
        <w:t>C</w:t>
      </w:r>
      <w:r>
        <w:rPr>
          <w:rFonts w:ascii="Garamond" w:hAnsi="Garamond"/>
        </w:rPr>
        <w:t xml:space="preserve">enter will work with the newly formed Task Force Education and Outreach team on goals, education and outreach plan, and education and outreach materials and events. </w:t>
      </w:r>
    </w:p>
    <w:p w:rsidR="00494B38" w:rsidRPr="003853BD" w:rsidRDefault="00494B38" w:rsidP="003853BD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>EPA and the Idaho parties plan to join t</w:t>
      </w:r>
      <w:r w:rsidR="00DD6220">
        <w:rPr>
          <w:rFonts w:ascii="Garamond" w:hAnsi="Garamond"/>
        </w:rPr>
        <w:t xml:space="preserve">he Task Force formally now that the </w:t>
      </w:r>
      <w:r w:rsidRPr="00494B38">
        <w:rPr>
          <w:rFonts w:ascii="Garamond" w:hAnsi="Garamond"/>
        </w:rPr>
        <w:t xml:space="preserve">Idaho </w:t>
      </w:r>
      <w:r w:rsidRPr="003853BD">
        <w:rPr>
          <w:rFonts w:ascii="Garamond" w:hAnsi="Garamond"/>
        </w:rPr>
        <w:t>discharger permits are finalized.</w:t>
      </w:r>
      <w:r w:rsidR="006A71BB" w:rsidRPr="003853BD">
        <w:rPr>
          <w:rFonts w:ascii="Garamond" w:hAnsi="Garamond"/>
        </w:rPr>
        <w:t xml:space="preserve"> The Center will</w:t>
      </w:r>
      <w:r w:rsidR="00DD6220" w:rsidRPr="003853BD">
        <w:rPr>
          <w:rFonts w:ascii="Garamond" w:hAnsi="Garamond"/>
        </w:rPr>
        <w:t xml:space="preserve"> continue to</w:t>
      </w:r>
      <w:r w:rsidR="006A71BB" w:rsidRPr="003853BD">
        <w:rPr>
          <w:rFonts w:ascii="Garamond" w:hAnsi="Garamond"/>
        </w:rPr>
        <w:t xml:space="preserve"> facilitate the Task Force’s consideration of, and agreement on, needed changes to the group’s </w:t>
      </w:r>
      <w:r w:rsidR="0054266D" w:rsidRPr="003853BD">
        <w:rPr>
          <w:rFonts w:ascii="Garamond" w:hAnsi="Garamond"/>
        </w:rPr>
        <w:t>MOA</w:t>
      </w:r>
      <w:r w:rsidR="006A71BB" w:rsidRPr="003853BD">
        <w:rPr>
          <w:rFonts w:ascii="Garamond" w:hAnsi="Garamond"/>
        </w:rPr>
        <w:t>.</w:t>
      </w:r>
      <w:r w:rsidR="00792174" w:rsidRPr="003853BD">
        <w:rPr>
          <w:rFonts w:ascii="Garamond" w:hAnsi="Garamond"/>
        </w:rPr>
        <w:t xml:space="preserve"> The Center will also assist in inviting new parties as identified by the Task Force after MOA legal review. </w:t>
      </w:r>
    </w:p>
    <w:p w:rsidR="00F758EB" w:rsidRDefault="00263157" w:rsidP="00F758EB">
      <w:pPr>
        <w:numPr>
          <w:ilvl w:val="0"/>
          <w:numId w:val="13"/>
        </w:numPr>
        <w:rPr>
          <w:rFonts w:ascii="Garamond" w:hAnsi="Garamond"/>
        </w:rPr>
      </w:pPr>
      <w:r w:rsidRPr="00655074">
        <w:rPr>
          <w:rFonts w:ascii="Garamond" w:hAnsi="Garamond"/>
        </w:rPr>
        <w:t>The Task Force will continue to work on documenting their activities and developing and i</w:t>
      </w:r>
      <w:r w:rsidR="0081499F" w:rsidRPr="00655074">
        <w:rPr>
          <w:rFonts w:ascii="Garamond" w:hAnsi="Garamond"/>
        </w:rPr>
        <w:t>mplementing a communication strategy.</w:t>
      </w:r>
      <w:bookmarkStart w:id="4" w:name="_GoBack"/>
      <w:bookmarkEnd w:id="4"/>
    </w:p>
    <w:p w:rsidR="002D7F0E" w:rsidRPr="00655074" w:rsidRDefault="002D7F0E" w:rsidP="002D7F0E">
      <w:pPr>
        <w:ind w:left="720"/>
        <w:rPr>
          <w:rFonts w:ascii="Garamond" w:hAnsi="Garamond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9" w:history="1">
        <w:r>
          <w:rPr>
            <w:rStyle w:val="Hyperlink"/>
          </w:rPr>
          <w:t>ruckelshauscenter@wsu.edu</w:t>
        </w:r>
      </w:hyperlink>
    </w:p>
    <w:p w:rsidR="002D7F0E" w:rsidRDefault="002D7F0E" w:rsidP="000D35D0">
      <w:pPr>
        <w:pStyle w:val="NormalWeb"/>
        <w:spacing w:before="0" w:beforeAutospacing="0" w:after="0" w:afterAutospacing="0"/>
        <w:sectPr w:rsidR="002D7F0E" w:rsidSect="000D35D0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D7F0E" w:rsidRDefault="002D7F0E" w:rsidP="000D35D0">
      <w:pPr>
        <w:pStyle w:val="NormalWeb"/>
        <w:spacing w:before="0" w:beforeAutospacing="0" w:after="0" w:afterAutospacing="0"/>
      </w:pPr>
    </w:p>
    <w:p w:rsidR="00655074" w:rsidRDefault="00655074" w:rsidP="000D35D0">
      <w:pPr>
        <w:pStyle w:val="NormalWeb"/>
        <w:spacing w:before="0" w:beforeAutospacing="0" w:after="0" w:afterAutospacing="0"/>
      </w:pPr>
    </w:p>
    <w:p w:rsidR="002D7F0E" w:rsidRDefault="002D7F0E" w:rsidP="000D35D0">
      <w:pPr>
        <w:pStyle w:val="NormalWeb"/>
        <w:spacing w:before="0" w:beforeAutospacing="0" w:after="0" w:afterAutospacing="0"/>
        <w:rPr>
          <w:rStyle w:val="Strong"/>
        </w:rPr>
        <w:sectPr w:rsidR="002D7F0E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0D35D0" w:rsidRPr="00655074" w:rsidRDefault="000D35D0" w:rsidP="000D35D0">
      <w:pPr>
        <w:pStyle w:val="NormalWeb"/>
        <w:spacing w:before="0" w:beforeAutospacing="0" w:after="0" w:afterAutospacing="0"/>
      </w:pPr>
      <w:r w:rsidRPr="00655074">
        <w:rPr>
          <w:rStyle w:val="Strong"/>
        </w:rPr>
        <w:lastRenderedPageBreak/>
        <w:t xml:space="preserve">Seattle Office: </w:t>
      </w:r>
      <w:r w:rsidRPr="00655074">
        <w:rPr>
          <w:b/>
          <w:bCs/>
        </w:rPr>
        <w:br/>
      </w:r>
      <w:r w:rsidRPr="00655074">
        <w:t>901 - 5th Ave</w:t>
      </w:r>
      <w:r w:rsidR="00556337" w:rsidRPr="00655074">
        <w:t>nue, Suite 2900</w:t>
      </w:r>
      <w:r w:rsidR="00556337" w:rsidRPr="00655074">
        <w:br/>
        <w:t>Seattle, WA 98164</w:t>
      </w:r>
      <w:r w:rsidRPr="00655074">
        <w:t>-2040</w:t>
      </w:r>
    </w:p>
    <w:p w:rsidR="000D35D0" w:rsidRPr="00655074" w:rsidRDefault="000D35D0" w:rsidP="000D35D0">
      <w:pPr>
        <w:pStyle w:val="NormalWeb"/>
        <w:spacing w:before="0" w:beforeAutospacing="0" w:after="0" w:afterAutospacing="0"/>
      </w:pPr>
      <w:r w:rsidRPr="00655074">
        <w:t>Phone: (206) 428-3021</w:t>
      </w:r>
      <w:r w:rsidRPr="00655074">
        <w:br/>
        <w:t>Fax: (206) 448-1334</w:t>
      </w:r>
    </w:p>
    <w:p w:rsidR="000D35D0" w:rsidRPr="00655074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Pr="00655074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Pr="00655074" w:rsidRDefault="000D35D0" w:rsidP="000D35D0">
      <w:pPr>
        <w:pStyle w:val="NormalWeb"/>
        <w:spacing w:before="0" w:beforeAutospacing="0" w:after="0" w:afterAutospacing="0"/>
      </w:pPr>
      <w:r w:rsidRPr="00655074">
        <w:rPr>
          <w:rStyle w:val="Strong"/>
        </w:rPr>
        <w:t xml:space="preserve">Pullman Office: </w:t>
      </w:r>
      <w:r w:rsidRPr="00655074">
        <w:br/>
        <w:t xml:space="preserve">P.O. Box 646248 </w:t>
      </w:r>
      <w:r w:rsidRPr="00655074">
        <w:br/>
        <w:t xml:space="preserve">Pullman, WA 99164-6248 </w:t>
      </w:r>
    </w:p>
    <w:p w:rsidR="000D35D0" w:rsidRDefault="000D35D0" w:rsidP="002D7F0E">
      <w:pPr>
        <w:pStyle w:val="NormalWeb"/>
        <w:spacing w:before="0" w:beforeAutospacing="0" w:after="0" w:afterAutospacing="0"/>
      </w:pPr>
      <w:r w:rsidRPr="00655074">
        <w:t>Phone: (50</w:t>
      </w:r>
      <w:r w:rsidR="00AB6174" w:rsidRPr="00655074">
        <w:t>9) 335-2937</w:t>
      </w:r>
      <w:r w:rsidR="00AB6174" w:rsidRPr="00655074">
        <w:br/>
        <w:t>Fax: (509) 335-2926</w:t>
      </w:r>
    </w:p>
    <w:p w:rsidR="002D7F0E" w:rsidRDefault="002D7F0E" w:rsidP="002D7F0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B73F5E" w:rsidRDefault="002D7F0E" w:rsidP="002D7F0E">
      <w:pPr>
        <w:pStyle w:val="NormalWeb"/>
        <w:spacing w:before="0" w:beforeAutospacing="0" w:after="0" w:afterAutospacing="0"/>
        <w:rPr>
          <w:rFonts w:ascii="Garamond" w:hAnsi="Garamond"/>
        </w:rPr>
      </w:pPr>
    </w:p>
    <w:sectPr w:rsidR="002D7F0E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Kara Whitman" w:date="2015-03-29T09:27:00Z" w:initials="KW">
    <w:p w:rsidR="00267A55" w:rsidRDefault="00267A55">
      <w:pPr>
        <w:pStyle w:val="CommentText"/>
      </w:pPr>
      <w:r>
        <w:rPr>
          <w:rStyle w:val="CommentReference"/>
        </w:rPr>
        <w:annotationRef/>
      </w:r>
      <w:r>
        <w:t xml:space="preserve">Chris, The SRRTTF was featured in a Center outreach publication, cannot seem to find it in my email, can you </w:t>
      </w:r>
      <w:r w:rsidR="00452B06">
        <w:t>add it</w:t>
      </w:r>
      <w:r>
        <w:t xml:space="preserve"> in here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55" w:rsidRDefault="00267A55">
      <w:r>
        <w:separator/>
      </w:r>
    </w:p>
  </w:endnote>
  <w:endnote w:type="continuationSeparator" w:id="0">
    <w:p w:rsidR="00267A55" w:rsidRDefault="0026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55" w:rsidRDefault="00267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A55" w:rsidRDefault="00267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55" w:rsidRDefault="00267A55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fldSimple w:instr=" PAGE   \* MERGEFORMAT ">
      <w:r w:rsidR="0075799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55" w:rsidRDefault="00267A55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fldSimple w:instr=" PAGE   \* MERGEFORMAT ">
      <w:r w:rsidR="0075799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55" w:rsidRDefault="00267A55">
      <w:r>
        <w:separator/>
      </w:r>
    </w:p>
  </w:footnote>
  <w:footnote w:type="continuationSeparator" w:id="0">
    <w:p w:rsidR="00267A55" w:rsidRDefault="0026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55" w:rsidRPr="0018407D" w:rsidRDefault="00267A55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23"/>
  </w:num>
  <w:num w:numId="16">
    <w:abstractNumId w:val="22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 w:numId="21">
    <w:abstractNumId w:val="20"/>
  </w:num>
  <w:num w:numId="22">
    <w:abstractNumId w:val="6"/>
  </w:num>
  <w:num w:numId="23">
    <w:abstractNumId w:val="11"/>
  </w:num>
  <w:num w:numId="24">
    <w:abstractNumId w:val="24"/>
  </w:num>
  <w:num w:numId="2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ge, Chris">
    <w15:presenceInfo w15:providerId="AD" w15:userId="S-1-5-21-861567501-115176313-682003330-32146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95D4D"/>
    <w:rsid w:val="00002FF3"/>
    <w:rsid w:val="0000558C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35D0"/>
    <w:rsid w:val="000D4F61"/>
    <w:rsid w:val="000F1E6D"/>
    <w:rsid w:val="000F5C14"/>
    <w:rsid w:val="000F7CA9"/>
    <w:rsid w:val="00121138"/>
    <w:rsid w:val="00121B7E"/>
    <w:rsid w:val="00122F05"/>
    <w:rsid w:val="00131E72"/>
    <w:rsid w:val="001334FA"/>
    <w:rsid w:val="001429B9"/>
    <w:rsid w:val="00146E77"/>
    <w:rsid w:val="0015207A"/>
    <w:rsid w:val="00154469"/>
    <w:rsid w:val="0016115E"/>
    <w:rsid w:val="00162698"/>
    <w:rsid w:val="00171600"/>
    <w:rsid w:val="00173824"/>
    <w:rsid w:val="001754E6"/>
    <w:rsid w:val="00182F2C"/>
    <w:rsid w:val="0018407D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D7F0E"/>
    <w:rsid w:val="002E0238"/>
    <w:rsid w:val="002E0FD4"/>
    <w:rsid w:val="002E1B2C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77BB8"/>
    <w:rsid w:val="003853BD"/>
    <w:rsid w:val="00390FEC"/>
    <w:rsid w:val="003C044F"/>
    <w:rsid w:val="003C4800"/>
    <w:rsid w:val="003C5285"/>
    <w:rsid w:val="003D1FA8"/>
    <w:rsid w:val="003D3010"/>
    <w:rsid w:val="003D56EC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62A1"/>
    <w:rsid w:val="00652C34"/>
    <w:rsid w:val="00654FE9"/>
    <w:rsid w:val="00655074"/>
    <w:rsid w:val="00655CB3"/>
    <w:rsid w:val="00656103"/>
    <w:rsid w:val="006565D7"/>
    <w:rsid w:val="00663B8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71BB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4DD0"/>
    <w:rsid w:val="00777A50"/>
    <w:rsid w:val="00781603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3541"/>
    <w:rsid w:val="0081499F"/>
    <w:rsid w:val="008162F4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6103F"/>
    <w:rsid w:val="00964D02"/>
    <w:rsid w:val="00965A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6666"/>
    <w:rsid w:val="009E60C0"/>
    <w:rsid w:val="009F1A42"/>
    <w:rsid w:val="009F3246"/>
    <w:rsid w:val="009F54AD"/>
    <w:rsid w:val="00A169DB"/>
    <w:rsid w:val="00A250B4"/>
    <w:rsid w:val="00A27B2E"/>
    <w:rsid w:val="00A40361"/>
    <w:rsid w:val="00A41CE7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AF4C16"/>
    <w:rsid w:val="00AF4F31"/>
    <w:rsid w:val="00B145B7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A041F"/>
    <w:rsid w:val="00BA51F0"/>
    <w:rsid w:val="00BB052C"/>
    <w:rsid w:val="00BB3D4F"/>
    <w:rsid w:val="00BB6C0B"/>
    <w:rsid w:val="00BD11A0"/>
    <w:rsid w:val="00BD3501"/>
    <w:rsid w:val="00BD428E"/>
    <w:rsid w:val="00BE147A"/>
    <w:rsid w:val="00BE6369"/>
    <w:rsid w:val="00C01ADC"/>
    <w:rsid w:val="00C0542E"/>
    <w:rsid w:val="00C422D4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B7981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20A20"/>
    <w:rsid w:val="00D243AF"/>
    <w:rsid w:val="00D41C80"/>
    <w:rsid w:val="00D41EFC"/>
    <w:rsid w:val="00D478EF"/>
    <w:rsid w:val="00D507CC"/>
    <w:rsid w:val="00D555DA"/>
    <w:rsid w:val="00D60493"/>
    <w:rsid w:val="00D64AC7"/>
    <w:rsid w:val="00D65A08"/>
    <w:rsid w:val="00D65DDF"/>
    <w:rsid w:val="00D668B3"/>
    <w:rsid w:val="00D70646"/>
    <w:rsid w:val="00D743C6"/>
    <w:rsid w:val="00D748A3"/>
    <w:rsid w:val="00D75A1C"/>
    <w:rsid w:val="00D87CDE"/>
    <w:rsid w:val="00D929A1"/>
    <w:rsid w:val="00D92CCD"/>
    <w:rsid w:val="00D96B65"/>
    <w:rsid w:val="00DA1347"/>
    <w:rsid w:val="00DA7B6F"/>
    <w:rsid w:val="00DB3250"/>
    <w:rsid w:val="00DB6444"/>
    <w:rsid w:val="00DB79D4"/>
    <w:rsid w:val="00DC2F01"/>
    <w:rsid w:val="00DD4213"/>
    <w:rsid w:val="00DD6220"/>
    <w:rsid w:val="00DE452C"/>
    <w:rsid w:val="00DF44C9"/>
    <w:rsid w:val="00E02AA1"/>
    <w:rsid w:val="00E17EE0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ckelshauscenter@w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259C-55D1-4491-8189-936AD9A2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689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Kara Whitman</cp:lastModifiedBy>
  <cp:revision>14</cp:revision>
  <cp:lastPrinted>2014-02-07T00:20:00Z</cp:lastPrinted>
  <dcterms:created xsi:type="dcterms:W3CDTF">2015-03-29T15:21:00Z</dcterms:created>
  <dcterms:modified xsi:type="dcterms:W3CDTF">2015-03-29T16:29:00Z</dcterms:modified>
</cp:coreProperties>
</file>