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5" w:rsidRPr="0084264E" w:rsidRDefault="002650E5" w:rsidP="0084264E">
      <w:pPr>
        <w:rPr>
          <w:rFonts w:ascii="Garamond" w:hAnsi="Garamond"/>
        </w:rPr>
      </w:pPr>
    </w:p>
    <w:p w:rsidR="00290250" w:rsidRPr="0084264E" w:rsidRDefault="00F820E4" w:rsidP="0084264E">
      <w:pPr>
        <w:pStyle w:val="Heading1"/>
        <w:rPr>
          <w:rFonts w:ascii="Garamond" w:hAnsi="Garamond" w:cs="Calibri"/>
          <w:szCs w:val="28"/>
        </w:rPr>
      </w:pPr>
      <w:r w:rsidRPr="0084264E">
        <w:rPr>
          <w:rFonts w:ascii="Garamond" w:hAnsi="Garamond" w:cs="Calibri"/>
          <w:szCs w:val="28"/>
        </w:rPr>
        <w:t>Spokane River Regional Toxics Task Force</w:t>
      </w:r>
    </w:p>
    <w:p w:rsidR="00F76D9A" w:rsidRPr="0084264E" w:rsidRDefault="00F76D9A" w:rsidP="0084264E">
      <w:pPr>
        <w:rPr>
          <w:rFonts w:ascii="Garamond" w:hAnsi="Garamond"/>
        </w:rPr>
      </w:pP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="00E85F02" w:rsidRPr="0084264E">
        <w:rPr>
          <w:rFonts w:ascii="Garamond" w:hAnsi="Garamond"/>
        </w:rPr>
        <w:tab/>
        <w:t xml:space="preserve"> </w:t>
      </w:r>
      <w:r w:rsidR="002765C4" w:rsidRPr="0084264E">
        <w:rPr>
          <w:rFonts w:ascii="Garamond" w:hAnsi="Garamond"/>
        </w:rPr>
        <w:t xml:space="preserve">   </w:t>
      </w:r>
      <w:r w:rsidRPr="0084264E">
        <w:rPr>
          <w:rFonts w:ascii="Garamond" w:hAnsi="Garamond"/>
        </w:rPr>
        <w:t>Q</w:t>
      </w:r>
      <w:r w:rsidR="005B7A1F" w:rsidRPr="0084264E">
        <w:rPr>
          <w:rFonts w:ascii="Garamond" w:hAnsi="Garamond"/>
        </w:rPr>
        <w:t>uarterly Report (</w:t>
      </w:r>
      <w:r w:rsidR="003D6648" w:rsidRPr="0084264E">
        <w:rPr>
          <w:rFonts w:ascii="Garamond" w:hAnsi="Garamond"/>
        </w:rPr>
        <w:t>7</w:t>
      </w:r>
      <w:r w:rsidR="00CB7981" w:rsidRPr="0084264E">
        <w:rPr>
          <w:rFonts w:ascii="Garamond" w:hAnsi="Garamond"/>
        </w:rPr>
        <w:t>/1/15</w:t>
      </w:r>
      <w:r w:rsidR="00932AB6" w:rsidRPr="0084264E">
        <w:rPr>
          <w:rFonts w:ascii="Garamond" w:hAnsi="Garamond"/>
        </w:rPr>
        <w:t xml:space="preserve"> – </w:t>
      </w:r>
      <w:r w:rsidR="003D6648" w:rsidRPr="0084264E">
        <w:rPr>
          <w:rFonts w:ascii="Garamond" w:hAnsi="Garamond"/>
        </w:rPr>
        <w:t>9</w:t>
      </w:r>
      <w:r w:rsidR="00500115" w:rsidRPr="0084264E">
        <w:rPr>
          <w:rFonts w:ascii="Garamond" w:hAnsi="Garamond"/>
        </w:rPr>
        <w:t>/3</w:t>
      </w:r>
      <w:r w:rsidR="00B205E1" w:rsidRPr="0084264E">
        <w:rPr>
          <w:rFonts w:ascii="Garamond" w:hAnsi="Garamond"/>
        </w:rPr>
        <w:t>0</w:t>
      </w:r>
      <w:r w:rsidR="00CB7981" w:rsidRPr="0084264E">
        <w:rPr>
          <w:rFonts w:ascii="Garamond" w:hAnsi="Garamond"/>
        </w:rPr>
        <w:t>/15</w:t>
      </w:r>
      <w:r w:rsidR="006F309E" w:rsidRPr="0084264E">
        <w:rPr>
          <w:rFonts w:ascii="Garamond" w:hAnsi="Garamond"/>
        </w:rPr>
        <w:t>)</w:t>
      </w:r>
    </w:p>
    <w:p w:rsidR="0018407D" w:rsidRPr="0084264E" w:rsidRDefault="0018407D" w:rsidP="0084264E">
      <w:pPr>
        <w:rPr>
          <w:rFonts w:ascii="Garamond" w:hAnsi="Garamond"/>
        </w:rPr>
      </w:pPr>
    </w:p>
    <w:p w:rsidR="0022317B" w:rsidRPr="0084264E" w:rsidRDefault="0022317B" w:rsidP="0084264E">
      <w:pPr>
        <w:rPr>
          <w:rFonts w:ascii="Garamond" w:hAnsi="Garamond"/>
        </w:rPr>
      </w:pPr>
      <w:r w:rsidRPr="0084264E">
        <w:rPr>
          <w:rFonts w:ascii="Garamond" w:hAnsi="Garamond"/>
          <w:b/>
        </w:rPr>
        <w:t>Project Staff:</w:t>
      </w:r>
      <w:r w:rsidR="009323D9" w:rsidRPr="0084264E">
        <w:rPr>
          <w:rFonts w:ascii="Garamond" w:hAnsi="Garamond"/>
        </w:rPr>
        <w:t xml:space="preserve"> Chris Page</w:t>
      </w:r>
      <w:r w:rsidR="00D41EFC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Facilitator;</w:t>
      </w:r>
      <w:r w:rsidR="00D41EFC" w:rsidRPr="0084264E">
        <w:rPr>
          <w:rFonts w:ascii="Garamond" w:hAnsi="Garamond"/>
        </w:rPr>
        <w:t xml:space="preserve"> </w:t>
      </w:r>
      <w:r w:rsidR="00C72017" w:rsidRPr="0084264E">
        <w:rPr>
          <w:rFonts w:ascii="Garamond" w:hAnsi="Garamond"/>
        </w:rPr>
        <w:t>Kara Whitman</w:t>
      </w:r>
      <w:r w:rsidR="00121B7E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Project Coordinator;</w:t>
      </w:r>
      <w:r w:rsidR="00121B7E" w:rsidRPr="0084264E">
        <w:rPr>
          <w:rFonts w:ascii="Garamond" w:hAnsi="Garamond"/>
        </w:rPr>
        <w:t xml:space="preserve"> Michael Kern,</w:t>
      </w:r>
      <w:r w:rsidR="00D70646" w:rsidRPr="0084264E">
        <w:rPr>
          <w:rFonts w:ascii="Garamond" w:hAnsi="Garamond"/>
        </w:rPr>
        <w:t xml:space="preserve"> Strategic Advisor;</w:t>
      </w:r>
      <w:r w:rsidR="00121B7E" w:rsidRPr="0084264E">
        <w:rPr>
          <w:rFonts w:ascii="Garamond" w:hAnsi="Garamond"/>
        </w:rPr>
        <w:t xml:space="preserve"> Cheryl Rajcich</w:t>
      </w:r>
      <w:r w:rsidR="00D70646" w:rsidRPr="0084264E">
        <w:rPr>
          <w:rFonts w:ascii="Garamond" w:hAnsi="Garamond"/>
        </w:rPr>
        <w:t>, Budget Manager</w:t>
      </w:r>
      <w:r w:rsidR="00871107" w:rsidRPr="0084264E">
        <w:rPr>
          <w:rFonts w:ascii="Garamond" w:hAnsi="Garamond"/>
        </w:rPr>
        <w:t xml:space="preserve"> </w:t>
      </w:r>
    </w:p>
    <w:p w:rsidR="00F820E4" w:rsidRPr="0084264E" w:rsidRDefault="00F820E4" w:rsidP="0084264E">
      <w:pPr>
        <w:rPr>
          <w:rFonts w:ascii="Garamond" w:hAnsi="Garamond"/>
        </w:rPr>
      </w:pPr>
    </w:p>
    <w:p w:rsidR="0018407D" w:rsidRPr="0084264E" w:rsidRDefault="0022317B" w:rsidP="0084264E">
      <w:p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Project Purpose: </w:t>
      </w:r>
      <w:r w:rsidR="00D75A1C" w:rsidRPr="0084264E">
        <w:rPr>
          <w:rFonts w:ascii="Garamond" w:hAnsi="Garamond"/>
        </w:rPr>
        <w:t>The Spokane River Regional Toxics Task Force (SRRTTF) is a</w:t>
      </w:r>
      <w:r w:rsidR="00F820E4" w:rsidRPr="0084264E">
        <w:rPr>
          <w:rFonts w:ascii="Garamond" w:hAnsi="Garamond"/>
        </w:rPr>
        <w:t xml:space="preserve"> collaborative group of governmental agencies, private industries, environmental organizations</w:t>
      </w:r>
      <w:r w:rsidR="00D507CC" w:rsidRPr="0084264E">
        <w:rPr>
          <w:rFonts w:ascii="Garamond" w:hAnsi="Garamond"/>
        </w:rPr>
        <w:t>, and interested parties</w:t>
      </w:r>
      <w:r w:rsidR="00F820E4" w:rsidRPr="0084264E">
        <w:rPr>
          <w:rFonts w:ascii="Garamond" w:hAnsi="Garamond"/>
        </w:rPr>
        <w:t xml:space="preserve"> </w:t>
      </w:r>
      <w:r w:rsidR="00BD3501" w:rsidRPr="0084264E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Pr="0084264E" w:rsidRDefault="007963C2" w:rsidP="0084264E">
      <w:pPr>
        <w:spacing w:after="120"/>
        <w:rPr>
          <w:rFonts w:ascii="Garamond" w:hAnsi="Garamond"/>
          <w:b/>
        </w:rPr>
      </w:pPr>
    </w:p>
    <w:p w:rsidR="00E85F02" w:rsidRPr="0084264E" w:rsidRDefault="002B4E3C" w:rsidP="0084264E">
      <w:pPr>
        <w:spacing w:after="120"/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>Q</w:t>
      </w:r>
      <w:r w:rsidR="00AF4F31" w:rsidRPr="0084264E">
        <w:rPr>
          <w:rFonts w:ascii="Garamond" w:hAnsi="Garamond"/>
          <w:b/>
        </w:rPr>
        <w:t>1</w:t>
      </w:r>
      <w:r w:rsidR="0084264E" w:rsidRPr="0084264E">
        <w:rPr>
          <w:rFonts w:ascii="Garamond" w:hAnsi="Garamond"/>
          <w:b/>
        </w:rPr>
        <w:t>3</w:t>
      </w:r>
      <w:r w:rsidR="009E60C0" w:rsidRPr="0084264E">
        <w:rPr>
          <w:rFonts w:ascii="Garamond" w:hAnsi="Garamond"/>
          <w:b/>
        </w:rPr>
        <w:t xml:space="preserve"> </w:t>
      </w:r>
      <w:r w:rsidR="003F4F96" w:rsidRPr="0084264E">
        <w:rPr>
          <w:rFonts w:ascii="Garamond" w:hAnsi="Garamond"/>
          <w:b/>
        </w:rPr>
        <w:t>Meeting Schedule</w:t>
      </w:r>
      <w:r w:rsidR="00290250" w:rsidRPr="0084264E">
        <w:rPr>
          <w:rFonts w:ascii="Garamond" w:hAnsi="Garamond"/>
          <w:b/>
        </w:rPr>
        <w:t>:</w:t>
      </w:r>
    </w:p>
    <w:tbl>
      <w:tblPr>
        <w:tblW w:w="7931" w:type="dxa"/>
        <w:jc w:val="center"/>
        <w:tblLook w:val="04A0" w:firstRow="1" w:lastRow="0" w:firstColumn="1" w:lastColumn="0" w:noHBand="0" w:noVBand="1"/>
      </w:tblPr>
      <w:tblGrid>
        <w:gridCol w:w="1643"/>
        <w:gridCol w:w="498"/>
        <w:gridCol w:w="608"/>
        <w:gridCol w:w="679"/>
        <w:gridCol w:w="726"/>
        <w:gridCol w:w="501"/>
        <w:gridCol w:w="838"/>
        <w:gridCol w:w="398"/>
        <w:gridCol w:w="733"/>
        <w:gridCol w:w="723"/>
        <w:gridCol w:w="679"/>
      </w:tblGrid>
      <w:tr w:rsidR="006A68A4" w:rsidRPr="0084264E" w:rsidTr="0084264E">
        <w:trPr>
          <w:trHeight w:val="315"/>
          <w:jc w:val="center"/>
        </w:trPr>
        <w:tc>
          <w:tcPr>
            <w:tcW w:w="2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8A4" w:rsidRPr="0084264E" w:rsidRDefault="006A68A4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color w:val="FFFFFF"/>
                <w:sz w:val="22"/>
                <w:szCs w:val="22"/>
              </w:rPr>
              <w:t>July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color w:val="FFFFFF"/>
                <w:sz w:val="22"/>
                <w:szCs w:val="22"/>
              </w:rPr>
              <w:t>August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84264E">
              <w:rPr>
                <w:rFonts w:ascii="Garamond" w:hAnsi="Garamond"/>
                <w:color w:val="FFFFFF" w:themeColor="background1"/>
                <w:sz w:val="22"/>
                <w:szCs w:val="22"/>
              </w:rPr>
              <w:t>September</w:t>
            </w:r>
          </w:p>
        </w:tc>
      </w:tr>
      <w:tr w:rsidR="006A68A4" w:rsidRPr="0084264E" w:rsidTr="0084264E">
        <w:trPr>
          <w:trHeight w:val="540"/>
          <w:jc w:val="center"/>
        </w:trPr>
        <w:tc>
          <w:tcPr>
            <w:tcW w:w="1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0"/>
                <w:szCs w:val="20"/>
              </w:rPr>
              <w:t>E&amp;O WG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6228"/>
            <w:vAlign w:val="bottom"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E&amp;O</w:t>
            </w:r>
          </w:p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WG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</w:tr>
      <w:tr w:rsidR="006A68A4" w:rsidRPr="0084264E" w:rsidTr="0084264E">
        <w:trPr>
          <w:trHeight w:val="484"/>
          <w:jc w:val="center"/>
        </w:trPr>
        <w:tc>
          <w:tcPr>
            <w:tcW w:w="1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1, 15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3, 2</w:t>
            </w:r>
            <w:r w:rsidR="00791E46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3</w:t>
            </w:r>
          </w:p>
        </w:tc>
      </w:tr>
      <w:tr w:rsidR="006A68A4" w:rsidRPr="0084264E" w:rsidTr="0084264E">
        <w:trPr>
          <w:trHeight w:val="315"/>
          <w:jc w:val="center"/>
        </w:trPr>
        <w:tc>
          <w:tcPr>
            <w:tcW w:w="16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  <w:tr w:rsidR="006A68A4" w:rsidRPr="0084264E" w:rsidTr="0084264E">
        <w:trPr>
          <w:trHeight w:val="315"/>
          <w:jc w:val="center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A4" w:rsidRPr="0084264E" w:rsidRDefault="006A68A4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</w:tr>
    </w:tbl>
    <w:p w:rsidR="00156765" w:rsidRPr="00E25C7C" w:rsidRDefault="00E25C7C" w:rsidP="00E25C7C">
      <w:pPr>
        <w:rPr>
          <w:rFonts w:ascii="Garamond" w:hAnsi="Garamond"/>
          <w:i/>
        </w:rPr>
      </w:pPr>
      <w:r w:rsidRPr="00E25C7C">
        <w:rPr>
          <w:rFonts w:ascii="Garamond" w:hAnsi="Garamond"/>
          <w:i/>
        </w:rPr>
        <w:t>TT: Technical Track Work Group</w:t>
      </w:r>
    </w:p>
    <w:p w:rsidR="00E25C7C" w:rsidRDefault="00E25C7C" w:rsidP="00E25C7C">
      <w:pPr>
        <w:rPr>
          <w:rFonts w:ascii="Garamond" w:hAnsi="Garamond"/>
          <w:i/>
        </w:rPr>
      </w:pPr>
      <w:r w:rsidRPr="00E25C7C">
        <w:rPr>
          <w:rFonts w:ascii="Garamond" w:hAnsi="Garamond"/>
          <w:i/>
        </w:rPr>
        <w:t>E&amp;O WG: Education &amp; Outreach Work Group</w:t>
      </w:r>
    </w:p>
    <w:p w:rsidR="00E25C7C" w:rsidRPr="00E25C7C" w:rsidRDefault="00E25C7C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TF: Task Force</w:t>
      </w:r>
    </w:p>
    <w:p w:rsidR="00FE0CB8" w:rsidRPr="0084264E" w:rsidRDefault="00FE0CB8" w:rsidP="0084264E">
      <w:pPr>
        <w:rPr>
          <w:rFonts w:ascii="Garamond" w:hAnsi="Garamond"/>
          <w:b/>
          <w:bCs/>
        </w:rPr>
      </w:pPr>
      <w:bookmarkStart w:id="0" w:name="RANGE!A11:Z16"/>
      <w:bookmarkStart w:id="1" w:name="RANGE!A11:AD15"/>
      <w:bookmarkEnd w:id="0"/>
      <w:bookmarkEnd w:id="1"/>
    </w:p>
    <w:p w:rsidR="00085CE1" w:rsidRPr="0084264E" w:rsidRDefault="00F820E4" w:rsidP="0084264E">
      <w:pPr>
        <w:tabs>
          <w:tab w:val="left" w:pos="5364"/>
        </w:tabs>
        <w:rPr>
          <w:rFonts w:ascii="Garamond" w:hAnsi="Garamond"/>
          <w:b/>
        </w:rPr>
      </w:pPr>
      <w:bookmarkStart w:id="2" w:name="OLE_LINK2"/>
      <w:r w:rsidRPr="0084264E">
        <w:rPr>
          <w:rFonts w:ascii="Garamond" w:hAnsi="Garamond"/>
          <w:b/>
        </w:rPr>
        <w:t>Project highlights</w:t>
      </w:r>
      <w:r w:rsidR="007D7EDE" w:rsidRPr="0084264E">
        <w:rPr>
          <w:rFonts w:ascii="Garamond" w:hAnsi="Garamond"/>
          <w:b/>
        </w:rPr>
        <w:t>:</w:t>
      </w:r>
      <w:r w:rsidR="009A4226" w:rsidRPr="0084264E">
        <w:rPr>
          <w:rFonts w:ascii="Garamond" w:hAnsi="Garamond"/>
          <w:b/>
        </w:rPr>
        <w:tab/>
      </w:r>
    </w:p>
    <w:bookmarkEnd w:id="2"/>
    <w:p w:rsidR="00495B4F" w:rsidRPr="0084264E" w:rsidRDefault="00D70646" w:rsidP="0084264E">
      <w:pPr>
        <w:numPr>
          <w:ilvl w:val="0"/>
          <w:numId w:val="13"/>
        </w:num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Meetings: </w:t>
      </w:r>
      <w:r w:rsidR="00CA7C26">
        <w:rPr>
          <w:rFonts w:ascii="Garamond" w:hAnsi="Garamond"/>
        </w:rPr>
        <w:t>F</w:t>
      </w:r>
      <w:r w:rsidR="00500115" w:rsidRPr="0084264E">
        <w:rPr>
          <w:rFonts w:ascii="Garamond" w:hAnsi="Garamond"/>
        </w:rPr>
        <w:t>acilitator Chris Page</w:t>
      </w:r>
      <w:r w:rsidR="00255BC5" w:rsidRPr="0084264E">
        <w:rPr>
          <w:rFonts w:ascii="Garamond" w:hAnsi="Garamond"/>
        </w:rPr>
        <w:t xml:space="preserve"> </w:t>
      </w:r>
      <w:r w:rsidR="006A71BB" w:rsidRPr="0084264E">
        <w:rPr>
          <w:rFonts w:ascii="Garamond" w:hAnsi="Garamond"/>
        </w:rPr>
        <w:t>develop</w:t>
      </w:r>
      <w:r w:rsidR="00983D52" w:rsidRPr="0084264E">
        <w:rPr>
          <w:rFonts w:ascii="Garamond" w:hAnsi="Garamond"/>
        </w:rPr>
        <w:t xml:space="preserve">ed meeting agendas </w:t>
      </w:r>
      <w:r w:rsidR="00656103" w:rsidRPr="0084264E">
        <w:rPr>
          <w:rFonts w:ascii="Garamond" w:hAnsi="Garamond"/>
        </w:rPr>
        <w:t>for</w:t>
      </w:r>
      <w:r w:rsidR="004A02F1" w:rsidRPr="0084264E">
        <w:rPr>
          <w:rFonts w:ascii="Garamond" w:hAnsi="Garamond"/>
        </w:rPr>
        <w:t xml:space="preserve"> </w:t>
      </w:r>
      <w:r w:rsidR="006A68A4" w:rsidRPr="0084264E">
        <w:rPr>
          <w:rFonts w:ascii="Garamond" w:hAnsi="Garamond"/>
        </w:rPr>
        <w:t>six</w:t>
      </w:r>
      <w:r w:rsidR="00D555DA" w:rsidRPr="0084264E">
        <w:rPr>
          <w:rFonts w:ascii="Garamond" w:hAnsi="Garamond"/>
        </w:rPr>
        <w:t xml:space="preserve"> </w:t>
      </w:r>
      <w:r w:rsidR="00500115" w:rsidRPr="0084264E">
        <w:rPr>
          <w:rFonts w:ascii="Garamond" w:hAnsi="Garamond"/>
        </w:rPr>
        <w:t xml:space="preserve">meetings, </w:t>
      </w:r>
      <w:r w:rsidR="004A02F1" w:rsidRPr="0084264E">
        <w:rPr>
          <w:rFonts w:ascii="Garamond" w:hAnsi="Garamond"/>
        </w:rPr>
        <w:t xml:space="preserve">including </w:t>
      </w:r>
      <w:r w:rsidR="00C16127" w:rsidRPr="0084264E">
        <w:rPr>
          <w:rFonts w:ascii="Garamond" w:hAnsi="Garamond"/>
        </w:rPr>
        <w:t xml:space="preserve">three </w:t>
      </w:r>
      <w:r w:rsidR="00743196" w:rsidRPr="0084264E">
        <w:rPr>
          <w:rFonts w:ascii="Garamond" w:hAnsi="Garamond"/>
        </w:rPr>
        <w:t xml:space="preserve">Task </w:t>
      </w:r>
      <w:r w:rsidR="00F76D9A" w:rsidRPr="0084264E">
        <w:rPr>
          <w:rFonts w:ascii="Garamond" w:hAnsi="Garamond"/>
        </w:rPr>
        <w:t>Force meetings</w:t>
      </w:r>
      <w:r w:rsidR="009B1CB2" w:rsidRPr="0084264E">
        <w:rPr>
          <w:rFonts w:ascii="Garamond" w:hAnsi="Garamond"/>
        </w:rPr>
        <w:t xml:space="preserve"> and </w:t>
      </w:r>
      <w:r w:rsidR="00DB6444" w:rsidRPr="0084264E">
        <w:rPr>
          <w:rFonts w:ascii="Garamond" w:hAnsi="Garamond"/>
        </w:rPr>
        <w:t>three</w:t>
      </w:r>
      <w:r w:rsidR="004A02F1" w:rsidRPr="0084264E">
        <w:rPr>
          <w:rFonts w:ascii="Garamond" w:hAnsi="Garamond"/>
        </w:rPr>
        <w:t xml:space="preserve"> T</w:t>
      </w:r>
      <w:r w:rsidR="005B7A1F" w:rsidRPr="0084264E">
        <w:rPr>
          <w:rFonts w:ascii="Garamond" w:hAnsi="Garamond"/>
        </w:rPr>
        <w:t>echnical Track Work Group</w:t>
      </w:r>
      <w:r w:rsidR="00871107" w:rsidRPr="0084264E">
        <w:rPr>
          <w:rFonts w:ascii="Garamond" w:hAnsi="Garamond"/>
        </w:rPr>
        <w:t xml:space="preserve"> </w:t>
      </w:r>
      <w:r w:rsidR="00656103" w:rsidRPr="0084264E">
        <w:rPr>
          <w:rFonts w:ascii="Garamond" w:hAnsi="Garamond"/>
        </w:rPr>
        <w:t xml:space="preserve">(TTWG) </w:t>
      </w:r>
      <w:r w:rsidR="00871107" w:rsidRPr="0084264E">
        <w:rPr>
          <w:rFonts w:ascii="Garamond" w:hAnsi="Garamond"/>
        </w:rPr>
        <w:t>meetings</w:t>
      </w:r>
      <w:r w:rsidR="00D555DA" w:rsidRPr="0084264E">
        <w:rPr>
          <w:rFonts w:ascii="Garamond" w:hAnsi="Garamond"/>
        </w:rPr>
        <w:t>.</w:t>
      </w:r>
      <w:r w:rsidR="00656103" w:rsidRPr="0084264E">
        <w:rPr>
          <w:rFonts w:ascii="Garamond" w:hAnsi="Garamond"/>
        </w:rPr>
        <w:t xml:space="preserve"> Chris facilitated</w:t>
      </w:r>
      <w:r w:rsidR="00781603" w:rsidRPr="0084264E">
        <w:rPr>
          <w:rFonts w:ascii="Garamond" w:hAnsi="Garamond"/>
        </w:rPr>
        <w:t xml:space="preserve"> </w:t>
      </w:r>
      <w:r w:rsidR="006A68A4" w:rsidRPr="0084264E">
        <w:rPr>
          <w:rFonts w:ascii="Garamond" w:hAnsi="Garamond"/>
        </w:rPr>
        <w:t>six</w:t>
      </w:r>
      <w:r w:rsidR="00C16127" w:rsidRPr="0084264E">
        <w:rPr>
          <w:rFonts w:ascii="Garamond" w:hAnsi="Garamond"/>
        </w:rPr>
        <w:t xml:space="preserve"> </w:t>
      </w:r>
      <w:r w:rsidR="000560AD" w:rsidRPr="0084264E">
        <w:rPr>
          <w:rFonts w:ascii="Garamond" w:hAnsi="Garamond"/>
        </w:rPr>
        <w:t>meetings inc</w:t>
      </w:r>
      <w:r w:rsidR="006A68A4" w:rsidRPr="0084264E">
        <w:rPr>
          <w:rFonts w:ascii="Garamond" w:hAnsi="Garamond"/>
        </w:rPr>
        <w:t>luding Task Force and</w:t>
      </w:r>
      <w:r w:rsidR="00C16127" w:rsidRPr="0084264E">
        <w:rPr>
          <w:rFonts w:ascii="Garamond" w:hAnsi="Garamond"/>
        </w:rPr>
        <w:t xml:space="preserve"> TTWG</w:t>
      </w:r>
      <w:r w:rsidR="00CF7550" w:rsidRPr="0084264E">
        <w:rPr>
          <w:rFonts w:ascii="Garamond" w:hAnsi="Garamond"/>
        </w:rPr>
        <w:t xml:space="preserve">. </w:t>
      </w:r>
      <w:r w:rsidR="00CA7C26">
        <w:rPr>
          <w:rFonts w:ascii="Garamond" w:hAnsi="Garamond"/>
        </w:rPr>
        <w:t>Kara Whitman drafted and distributed announcements</w:t>
      </w:r>
      <w:r w:rsidR="00983D52" w:rsidRPr="0084264E">
        <w:rPr>
          <w:rFonts w:ascii="Garamond" w:hAnsi="Garamond"/>
        </w:rPr>
        <w:t xml:space="preserve">, </w:t>
      </w:r>
      <w:r w:rsidR="00F76D9A" w:rsidRPr="0084264E">
        <w:rPr>
          <w:rFonts w:ascii="Garamond" w:hAnsi="Garamond"/>
        </w:rPr>
        <w:t>materials</w:t>
      </w:r>
      <w:r w:rsidR="003F4F96" w:rsidRPr="0084264E">
        <w:rPr>
          <w:rFonts w:ascii="Garamond" w:hAnsi="Garamond"/>
        </w:rPr>
        <w:t>, and summaries</w:t>
      </w:r>
      <w:r w:rsidR="00D02635" w:rsidRPr="0084264E">
        <w:rPr>
          <w:rFonts w:ascii="Garamond" w:hAnsi="Garamond"/>
        </w:rPr>
        <w:t xml:space="preserve"> </w:t>
      </w:r>
      <w:r w:rsidR="003F4F96" w:rsidRPr="0084264E">
        <w:rPr>
          <w:rFonts w:ascii="Garamond" w:hAnsi="Garamond"/>
        </w:rPr>
        <w:t>were drafted</w:t>
      </w:r>
      <w:r w:rsidR="00DB3250" w:rsidRPr="0084264E">
        <w:rPr>
          <w:rFonts w:ascii="Garamond" w:hAnsi="Garamond"/>
        </w:rPr>
        <w:t xml:space="preserve"> and distributed</w:t>
      </w:r>
      <w:r w:rsidR="00D41EFC" w:rsidRPr="0084264E">
        <w:rPr>
          <w:rFonts w:ascii="Garamond" w:hAnsi="Garamond"/>
        </w:rPr>
        <w:t xml:space="preserve"> for each meeting</w:t>
      </w:r>
      <w:r w:rsidR="002918B8" w:rsidRPr="0084264E">
        <w:rPr>
          <w:rFonts w:ascii="Garamond" w:hAnsi="Garamond"/>
        </w:rPr>
        <w:t>.</w:t>
      </w:r>
      <w:r w:rsidR="00C16127" w:rsidRPr="0084264E">
        <w:rPr>
          <w:rFonts w:ascii="Garamond" w:hAnsi="Garamond"/>
        </w:rPr>
        <w:t xml:space="preserve"> Kara Whitman</w:t>
      </w:r>
      <w:r w:rsidR="006A68A4" w:rsidRPr="0084264E">
        <w:rPr>
          <w:rFonts w:ascii="Garamond" w:hAnsi="Garamond"/>
        </w:rPr>
        <w:t xml:space="preserve"> developed agendas and</w:t>
      </w:r>
      <w:r w:rsidR="00C16127" w:rsidRPr="0084264E">
        <w:rPr>
          <w:rFonts w:ascii="Garamond" w:hAnsi="Garamond"/>
        </w:rPr>
        <w:t xml:space="preserve"> facilitated three meetings </w:t>
      </w:r>
      <w:r w:rsidR="006A68A4" w:rsidRPr="0084264E">
        <w:rPr>
          <w:rFonts w:ascii="Garamond" w:hAnsi="Garamond"/>
        </w:rPr>
        <w:t xml:space="preserve">of the </w:t>
      </w:r>
      <w:r w:rsidR="00C16127" w:rsidRPr="0084264E">
        <w:rPr>
          <w:rFonts w:ascii="Garamond" w:hAnsi="Garamond"/>
        </w:rPr>
        <w:t xml:space="preserve">Education </w:t>
      </w:r>
      <w:r w:rsidR="006A68A4" w:rsidRPr="0084264E">
        <w:rPr>
          <w:rFonts w:ascii="Garamond" w:hAnsi="Garamond"/>
        </w:rPr>
        <w:t>and Outreach Work Group</w:t>
      </w:r>
      <w:r w:rsidR="00C16127" w:rsidRPr="0084264E">
        <w:rPr>
          <w:rFonts w:ascii="Garamond" w:hAnsi="Garamond"/>
        </w:rPr>
        <w:t>.</w:t>
      </w:r>
    </w:p>
    <w:p w:rsidR="00C01ADC" w:rsidRPr="0084264E" w:rsidRDefault="00D70646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Website Management: </w:t>
      </w:r>
      <w:r w:rsidR="001F5924" w:rsidRPr="0084264E">
        <w:rPr>
          <w:rFonts w:ascii="Garamond" w:hAnsi="Garamond"/>
        </w:rPr>
        <w:t xml:space="preserve">Kara Whitman </w:t>
      </w:r>
      <w:r w:rsidR="00983D52" w:rsidRPr="0084264E">
        <w:rPr>
          <w:rFonts w:ascii="Garamond" w:hAnsi="Garamond"/>
        </w:rPr>
        <w:t xml:space="preserve">managed and updated the </w:t>
      </w:r>
      <w:r w:rsidR="00BB3D4F" w:rsidRPr="0084264E">
        <w:rPr>
          <w:rFonts w:ascii="Garamond" w:hAnsi="Garamond"/>
        </w:rPr>
        <w:t>web page on behalf of the Task F</w:t>
      </w:r>
      <w:r w:rsidRPr="0084264E">
        <w:rPr>
          <w:rFonts w:ascii="Garamond" w:hAnsi="Garamond"/>
        </w:rPr>
        <w:t>orce f</w:t>
      </w:r>
      <w:r w:rsidR="00D02635" w:rsidRPr="0084264E">
        <w:rPr>
          <w:rFonts w:ascii="Garamond" w:hAnsi="Garamond"/>
        </w:rPr>
        <w:t xml:space="preserve">or the </w:t>
      </w:r>
      <w:r w:rsidR="00983D52" w:rsidRPr="0084264E">
        <w:rPr>
          <w:rFonts w:ascii="Garamond" w:hAnsi="Garamond"/>
        </w:rPr>
        <w:t>meeting</w:t>
      </w:r>
      <w:r w:rsidR="00BB3D4F" w:rsidRPr="0084264E">
        <w:rPr>
          <w:rFonts w:ascii="Garamond" w:hAnsi="Garamond"/>
        </w:rPr>
        <w:t>s facilitated by the Ruckelshaus Center</w:t>
      </w:r>
      <w:r w:rsidRPr="0084264E">
        <w:rPr>
          <w:rFonts w:ascii="Garamond" w:hAnsi="Garamond"/>
        </w:rPr>
        <w:t>.</w:t>
      </w:r>
      <w:r w:rsidR="00BB3D4F" w:rsidRPr="0084264E">
        <w:rPr>
          <w:rFonts w:ascii="Garamond" w:hAnsi="Garamond"/>
        </w:rPr>
        <w:t xml:space="preserve"> </w:t>
      </w:r>
      <w:r w:rsidRPr="0084264E">
        <w:rPr>
          <w:rFonts w:ascii="Garamond" w:hAnsi="Garamond"/>
        </w:rPr>
        <w:t>T</w:t>
      </w:r>
      <w:r w:rsidR="00BB3D4F" w:rsidRPr="0084264E">
        <w:rPr>
          <w:rFonts w:ascii="Garamond" w:hAnsi="Garamond"/>
        </w:rPr>
        <w:t>his included posting meeting announcements,</w:t>
      </w:r>
      <w:r w:rsidR="00983D52" w:rsidRPr="0084264E">
        <w:rPr>
          <w:rFonts w:ascii="Garamond" w:hAnsi="Garamond"/>
        </w:rPr>
        <w:t xml:space="preserve"> materials</w:t>
      </w:r>
      <w:r w:rsidR="00E85F02" w:rsidRPr="0084264E">
        <w:rPr>
          <w:rFonts w:ascii="Garamond" w:hAnsi="Garamond"/>
        </w:rPr>
        <w:t xml:space="preserve"> and supporting documents</w:t>
      </w:r>
      <w:r w:rsidR="00BB3D4F" w:rsidRPr="0084264E">
        <w:rPr>
          <w:rFonts w:ascii="Garamond" w:hAnsi="Garamond"/>
        </w:rPr>
        <w:t>, and meeting summaries</w:t>
      </w:r>
      <w:r w:rsidR="00663B88" w:rsidRPr="0084264E">
        <w:rPr>
          <w:rFonts w:ascii="Garamond" w:hAnsi="Garamond"/>
        </w:rPr>
        <w:t>.</w:t>
      </w:r>
    </w:p>
    <w:p w:rsidR="00AB6174" w:rsidRPr="0084264E" w:rsidRDefault="00C01ADC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Technical Advisor: </w:t>
      </w:r>
      <w:r w:rsidRPr="0084264E">
        <w:rPr>
          <w:rFonts w:ascii="Garamond" w:hAnsi="Garamond"/>
        </w:rPr>
        <w:t xml:space="preserve">The Task Force worked with the Technical Advisor </w:t>
      </w:r>
      <w:r w:rsidR="00D507CC" w:rsidRPr="0084264E">
        <w:rPr>
          <w:rFonts w:ascii="Garamond" w:hAnsi="Garamond"/>
        </w:rPr>
        <w:t>(</w:t>
      </w:r>
      <w:proofErr w:type="spellStart"/>
      <w:r w:rsidRPr="0084264E">
        <w:rPr>
          <w:rFonts w:ascii="Garamond" w:hAnsi="Garamond"/>
        </w:rPr>
        <w:t>Limno</w:t>
      </w:r>
      <w:r w:rsidR="00285244" w:rsidRPr="0084264E">
        <w:rPr>
          <w:rFonts w:ascii="Garamond" w:hAnsi="Garamond"/>
        </w:rPr>
        <w:t>Tech</w:t>
      </w:r>
      <w:proofErr w:type="spellEnd"/>
      <w:r w:rsidR="00D507CC" w:rsidRPr="0084264E">
        <w:rPr>
          <w:rFonts w:ascii="Garamond" w:hAnsi="Garamond"/>
        </w:rPr>
        <w:t>)</w:t>
      </w:r>
      <w:r w:rsidR="00285244" w:rsidRPr="0084264E">
        <w:rPr>
          <w:rFonts w:ascii="Garamond" w:hAnsi="Garamond"/>
        </w:rPr>
        <w:t xml:space="preserve"> </w:t>
      </w:r>
      <w:r w:rsidR="00791E46">
        <w:rPr>
          <w:rFonts w:ascii="Garamond" w:hAnsi="Garamond"/>
        </w:rPr>
        <w:t xml:space="preserve">and other technical staff (Department of Ecology Environmental Assessment Program staff, representatives from Task Force entities, and TTWG Chair Bud Leber) </w:t>
      </w:r>
      <w:r w:rsidR="00285244" w:rsidRPr="0084264E">
        <w:rPr>
          <w:rFonts w:ascii="Garamond" w:hAnsi="Garamond"/>
        </w:rPr>
        <w:t xml:space="preserve">to </w:t>
      </w:r>
      <w:r w:rsidR="00663B88" w:rsidRPr="0084264E">
        <w:rPr>
          <w:rFonts w:ascii="Garamond" w:hAnsi="Garamond"/>
        </w:rPr>
        <w:t>assist in Task Force understanding of technical issues and to ensure t</w:t>
      </w:r>
      <w:r w:rsidR="00791E46">
        <w:rPr>
          <w:rFonts w:ascii="Garamond" w:hAnsi="Garamond"/>
        </w:rPr>
        <w:t>hat presentations and reports were</w:t>
      </w:r>
      <w:r w:rsidR="00663B88" w:rsidRPr="0084264E">
        <w:rPr>
          <w:rFonts w:ascii="Garamond" w:hAnsi="Garamond"/>
        </w:rPr>
        <w:t xml:space="preserve"> adequately vetted before meetings.</w:t>
      </w:r>
    </w:p>
    <w:p w:rsidR="0084264E" w:rsidRPr="0084264E" w:rsidRDefault="001F0D72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>Partnerships</w:t>
      </w:r>
      <w:r w:rsidR="000F5C14" w:rsidRPr="0084264E">
        <w:rPr>
          <w:rFonts w:ascii="Garamond" w:hAnsi="Garamond"/>
          <w:b/>
        </w:rPr>
        <w:t>:</w:t>
      </w:r>
      <w:r w:rsidR="000F5C14" w:rsidRPr="0084264E">
        <w:rPr>
          <w:rFonts w:ascii="Garamond" w:hAnsi="Garamond"/>
        </w:rPr>
        <w:t xml:space="preserve"> </w:t>
      </w:r>
      <w:r w:rsidRPr="0084264E">
        <w:rPr>
          <w:rFonts w:ascii="Garamond" w:hAnsi="Garamond"/>
        </w:rPr>
        <w:t>The Center</w:t>
      </w:r>
      <w:r w:rsidR="0084264E" w:rsidRPr="0084264E">
        <w:rPr>
          <w:rFonts w:ascii="Garamond" w:hAnsi="Garamond"/>
        </w:rPr>
        <w:t xml:space="preserve"> continued to coordinate</w:t>
      </w:r>
      <w:r w:rsidRPr="0084264E">
        <w:rPr>
          <w:rFonts w:ascii="Garamond" w:hAnsi="Garamond"/>
        </w:rPr>
        <w:t xml:space="preserve"> the initiation and development of multiple partnerships </w:t>
      </w:r>
      <w:r w:rsidR="00BB70B2">
        <w:rPr>
          <w:rFonts w:ascii="Garamond" w:hAnsi="Garamond"/>
        </w:rPr>
        <w:t xml:space="preserve">among </w:t>
      </w:r>
      <w:r w:rsidRPr="0084264E">
        <w:rPr>
          <w:rFonts w:ascii="Garamond" w:hAnsi="Garamond"/>
        </w:rPr>
        <w:t>the Task Force and other agencies including the Northwest Pollution Prevention Center (NWCC), the Washington Department of Fish and Wildlife (WDFW), the City of Seattle, th</w:t>
      </w:r>
      <w:r w:rsidR="00D17ECD">
        <w:rPr>
          <w:rFonts w:ascii="Garamond" w:hAnsi="Garamond"/>
        </w:rPr>
        <w:t xml:space="preserve">e Product Stewardship Institute </w:t>
      </w:r>
      <w:r w:rsidRPr="0084264E">
        <w:rPr>
          <w:rFonts w:ascii="Garamond" w:hAnsi="Garamond"/>
        </w:rPr>
        <w:t xml:space="preserve">(PSI), </w:t>
      </w:r>
      <w:r w:rsidR="0084264E" w:rsidRPr="0084264E">
        <w:rPr>
          <w:rFonts w:ascii="Garamond" w:hAnsi="Garamond"/>
        </w:rPr>
        <w:t xml:space="preserve">The </w:t>
      </w:r>
      <w:r w:rsidR="0084264E" w:rsidRPr="0084264E">
        <w:rPr>
          <w:rFonts w:ascii="Garamond" w:hAnsi="Garamond"/>
        </w:rPr>
        <w:lastRenderedPageBreak/>
        <w:t xml:space="preserve">Washington Department of Enterprise Services (DES), </w:t>
      </w:r>
      <w:r w:rsidR="00BB70B2">
        <w:rPr>
          <w:rFonts w:ascii="Garamond" w:hAnsi="Garamond"/>
        </w:rPr>
        <w:t>and Washington State University.</w:t>
      </w:r>
    </w:p>
    <w:p w:rsidR="0084264E" w:rsidRPr="0084264E" w:rsidRDefault="0084264E" w:rsidP="0084264E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720"/>
        </w:tabs>
        <w:ind w:right="1346"/>
        <w:contextualSpacing w:val="0"/>
        <w:rPr>
          <w:rFonts w:ascii="Garamond" w:eastAsia="Garamond" w:hAnsi="Garamond" w:cs="Garamond"/>
          <w:sz w:val="24"/>
          <w:szCs w:val="24"/>
        </w:rPr>
      </w:pPr>
      <w:r w:rsidRPr="0084264E">
        <w:rPr>
          <w:rFonts w:ascii="Garamond" w:eastAsia="Garamond" w:hAnsi="Garamond" w:cs="Garamond"/>
          <w:sz w:val="24"/>
          <w:szCs w:val="24"/>
        </w:rPr>
        <w:t xml:space="preserve">The Center facilitated dialogue between the Task Force and the Department of Enterprise Services (DES) and subsequent formation of a Task Force work group to advise DES on the implementation of the State </w:t>
      </w:r>
      <w:r w:rsidRPr="0084264E">
        <w:rPr>
          <w:rFonts w:ascii="Garamond" w:hAnsi="Garamond"/>
        </w:rPr>
        <w:t xml:space="preserve">RCW 39.26.280 </w:t>
      </w:r>
      <w:r w:rsidRPr="0084264E">
        <w:rPr>
          <w:rFonts w:ascii="Garamond" w:eastAsia="Garamond" w:hAnsi="Garamond" w:cs="Garamond"/>
          <w:sz w:val="24"/>
          <w:szCs w:val="24"/>
        </w:rPr>
        <w:t>“PCB-Free” Purchasing policy and the use of the “Best Value Bid Weighting Calculator”.</w:t>
      </w:r>
    </w:p>
    <w:p w:rsidR="001F0D72" w:rsidRPr="0084264E" w:rsidRDefault="0084264E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Outreach: </w:t>
      </w:r>
      <w:r w:rsidRPr="0084264E">
        <w:rPr>
          <w:rFonts w:ascii="Garamond" w:eastAsia="Garamond" w:hAnsi="Garamond" w:cs="Garamond"/>
        </w:rPr>
        <w:t>The Center coordinated the Education and Outreach work group</w:t>
      </w:r>
      <w:r w:rsidR="00BB70B2">
        <w:rPr>
          <w:rFonts w:ascii="Garamond" w:eastAsia="Garamond" w:hAnsi="Garamond" w:cs="Garamond"/>
        </w:rPr>
        <w:t>,</w:t>
      </w:r>
      <w:r w:rsidRPr="0084264E">
        <w:rPr>
          <w:rFonts w:ascii="Garamond" w:eastAsia="Garamond" w:hAnsi="Garamond" w:cs="Garamond"/>
        </w:rPr>
        <w:t xml:space="preserve"> which recently drafted and submitted an applicati</w:t>
      </w:r>
      <w:r w:rsidR="00BB70B2">
        <w:rPr>
          <w:rFonts w:ascii="Garamond" w:eastAsia="Garamond" w:hAnsi="Garamond" w:cs="Garamond"/>
        </w:rPr>
        <w:t>on (through the City of Spokane)</w:t>
      </w:r>
      <w:r w:rsidRPr="0084264E">
        <w:rPr>
          <w:rFonts w:ascii="Garamond" w:eastAsia="Garamond" w:hAnsi="Garamond" w:cs="Garamond"/>
        </w:rPr>
        <w:t xml:space="preserve"> for a </w:t>
      </w:r>
      <w:r w:rsidR="00BB70B2">
        <w:rPr>
          <w:rFonts w:ascii="Garamond" w:eastAsia="Garamond" w:hAnsi="Garamond" w:cs="Garamond"/>
        </w:rPr>
        <w:t>m</w:t>
      </w:r>
      <w:r w:rsidRPr="0084264E">
        <w:rPr>
          <w:rFonts w:ascii="Garamond" w:eastAsia="Garamond" w:hAnsi="Garamond" w:cs="Garamond"/>
        </w:rPr>
        <w:t xml:space="preserve">unicipal </w:t>
      </w:r>
      <w:proofErr w:type="spellStart"/>
      <w:r w:rsidR="00BB70B2">
        <w:rPr>
          <w:rFonts w:ascii="Garamond" w:eastAsia="Garamond" w:hAnsi="Garamond" w:cs="Garamond"/>
        </w:rPr>
        <w:t>stormwater</w:t>
      </w:r>
      <w:proofErr w:type="spellEnd"/>
      <w:r w:rsidR="00BB70B2">
        <w:rPr>
          <w:rFonts w:ascii="Garamond" w:eastAsia="Garamond" w:hAnsi="Garamond" w:cs="Garamond"/>
        </w:rPr>
        <w:t xml:space="preserve"> Grant</w:t>
      </w:r>
      <w:r w:rsidRPr="0084264E">
        <w:rPr>
          <w:rFonts w:ascii="Garamond" w:eastAsia="Garamond" w:hAnsi="Garamond" w:cs="Garamond"/>
        </w:rPr>
        <w:t xml:space="preserve"> of Regional or Statewide Significance (GROSS) from the </w:t>
      </w:r>
      <w:r w:rsidR="00BB70B2">
        <w:rPr>
          <w:rFonts w:ascii="Garamond" w:eastAsia="Garamond" w:hAnsi="Garamond" w:cs="Garamond"/>
        </w:rPr>
        <w:t>D</w:t>
      </w:r>
      <w:r w:rsidRPr="0084264E">
        <w:rPr>
          <w:rFonts w:ascii="Garamond" w:eastAsia="Garamond" w:hAnsi="Garamond" w:cs="Garamond"/>
        </w:rPr>
        <w:t xml:space="preserve">epartment of </w:t>
      </w:r>
      <w:r w:rsidR="00BB70B2">
        <w:rPr>
          <w:rFonts w:ascii="Garamond" w:eastAsia="Garamond" w:hAnsi="Garamond" w:cs="Garamond"/>
        </w:rPr>
        <w:t>E</w:t>
      </w:r>
      <w:r w:rsidRPr="0084264E">
        <w:rPr>
          <w:rFonts w:ascii="Garamond" w:eastAsia="Garamond" w:hAnsi="Garamond" w:cs="Garamond"/>
        </w:rPr>
        <w:t xml:space="preserve">cology requesting </w:t>
      </w:r>
      <w:r w:rsidR="00BB70B2">
        <w:rPr>
          <w:rFonts w:ascii="Garamond" w:eastAsia="Garamond" w:hAnsi="Garamond" w:cs="Garamond"/>
        </w:rPr>
        <w:t>~</w:t>
      </w:r>
      <w:r w:rsidRPr="0084264E">
        <w:rPr>
          <w:rFonts w:ascii="Garamond" w:eastAsia="Garamond" w:hAnsi="Garamond" w:cs="Garamond"/>
        </w:rPr>
        <w:t>$300,000</w:t>
      </w:r>
      <w:r>
        <w:rPr>
          <w:rFonts w:ascii="Garamond" w:eastAsia="Garamond" w:hAnsi="Garamond" w:cs="Garamond"/>
        </w:rPr>
        <w:t xml:space="preserve"> to</w:t>
      </w:r>
      <w:r w:rsidRPr="0084264E">
        <w:rPr>
          <w:rFonts w:ascii="Garamond" w:eastAsia="Garamond" w:hAnsi="Garamond" w:cs="Garamond"/>
        </w:rPr>
        <w:t xml:space="preserve"> develop and implement a strategic public education and awareness campaign focused on providing information on the water quality challenges facing the Spokane River and the Spokane Valley-Rathdrum Prairie Aquifer. </w:t>
      </w:r>
    </w:p>
    <w:p w:rsidR="00085CE1" w:rsidRPr="0084264E" w:rsidRDefault="00085CE1" w:rsidP="0084264E">
      <w:pPr>
        <w:ind w:left="360"/>
        <w:rPr>
          <w:rFonts w:ascii="Garamond" w:hAnsi="Garamond"/>
        </w:rPr>
      </w:pPr>
    </w:p>
    <w:p w:rsidR="00AD50D3" w:rsidRPr="0084264E" w:rsidRDefault="00DD50C6" w:rsidP="0084264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Upcoming </w:t>
      </w:r>
      <w:r w:rsidR="00983D52" w:rsidRPr="0084264E">
        <w:rPr>
          <w:rFonts w:ascii="Garamond" w:hAnsi="Garamond"/>
          <w:b/>
        </w:rPr>
        <w:t>Center work with Task Force members and Work Groups</w:t>
      </w:r>
      <w:r w:rsidR="00AD50D3" w:rsidRPr="0084264E">
        <w:rPr>
          <w:rFonts w:ascii="Garamond" w:hAnsi="Garamond"/>
          <w:b/>
        </w:rPr>
        <w:t>:</w:t>
      </w:r>
    </w:p>
    <w:p w:rsidR="0058163E" w:rsidRPr="0084264E" w:rsidRDefault="00285244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and </w:t>
      </w:r>
      <w:r w:rsidR="0058163E" w:rsidRPr="0084264E">
        <w:rPr>
          <w:rFonts w:ascii="Garamond" w:hAnsi="Garamond"/>
        </w:rPr>
        <w:t>work groups will conti</w:t>
      </w:r>
      <w:r w:rsidR="00655074" w:rsidRPr="0084264E">
        <w:rPr>
          <w:rFonts w:ascii="Garamond" w:hAnsi="Garamond"/>
        </w:rPr>
        <w:t>nue to meet on a monthly basis</w:t>
      </w:r>
      <w:r w:rsidR="00B44A4D" w:rsidRPr="0084264E">
        <w:rPr>
          <w:rFonts w:ascii="Garamond" w:hAnsi="Garamond"/>
        </w:rPr>
        <w:t>.</w:t>
      </w:r>
    </w:p>
    <w:p w:rsidR="00494B38" w:rsidRPr="0084264E" w:rsidRDefault="00346C63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will continue to work with the </w:t>
      </w:r>
      <w:r w:rsidR="00AB6174" w:rsidRPr="0084264E">
        <w:rPr>
          <w:rFonts w:ascii="Garamond" w:hAnsi="Garamond"/>
        </w:rPr>
        <w:t>Technical Consultant</w:t>
      </w:r>
      <w:r w:rsidRPr="0084264E">
        <w:rPr>
          <w:rFonts w:ascii="Garamond" w:hAnsi="Garamond"/>
        </w:rPr>
        <w:t xml:space="preserve"> on</w:t>
      </w:r>
      <w:r w:rsidR="00285244" w:rsidRPr="0084264E">
        <w:rPr>
          <w:rFonts w:ascii="Garamond" w:hAnsi="Garamond"/>
        </w:rPr>
        <w:t xml:space="preserve"> completing assigned Tasks</w:t>
      </w:r>
      <w:r w:rsidR="00D507CC" w:rsidRPr="0084264E">
        <w:rPr>
          <w:rFonts w:ascii="Garamond" w:hAnsi="Garamond"/>
        </w:rPr>
        <w:t xml:space="preserve"> as well as on Phase Two of the Technical Consultant’s work</w:t>
      </w:r>
      <w:r w:rsidR="00AB6174" w:rsidRPr="0084264E">
        <w:rPr>
          <w:rFonts w:ascii="Garamond" w:hAnsi="Garamond"/>
        </w:rPr>
        <w:t>.</w:t>
      </w:r>
    </w:p>
    <w:p w:rsidR="00A40361" w:rsidRPr="0084264E" w:rsidRDefault="00A40361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</w:t>
      </w:r>
      <w:r w:rsidR="00792174" w:rsidRPr="0084264E">
        <w:rPr>
          <w:rFonts w:ascii="Garamond" w:hAnsi="Garamond"/>
        </w:rPr>
        <w:t>C</w:t>
      </w:r>
      <w:r w:rsidRPr="0084264E">
        <w:rPr>
          <w:rFonts w:ascii="Garamond" w:hAnsi="Garamond"/>
        </w:rPr>
        <w:t xml:space="preserve">enter will </w:t>
      </w:r>
      <w:r w:rsidR="006C6E07">
        <w:rPr>
          <w:rFonts w:ascii="Garamond" w:hAnsi="Garamond"/>
        </w:rPr>
        <w:t xml:space="preserve">continue to provide support for the </w:t>
      </w:r>
      <w:r w:rsidRPr="0084264E">
        <w:rPr>
          <w:rFonts w:ascii="Garamond" w:hAnsi="Garamond"/>
        </w:rPr>
        <w:t xml:space="preserve">Task Force </w:t>
      </w:r>
      <w:r w:rsidR="0084264E">
        <w:rPr>
          <w:rFonts w:ascii="Garamond" w:hAnsi="Garamond"/>
        </w:rPr>
        <w:t>ad-hoc work groups (hydroseed, vactor waste, e</w:t>
      </w:r>
      <w:r w:rsidRPr="0084264E">
        <w:rPr>
          <w:rFonts w:ascii="Garamond" w:hAnsi="Garamond"/>
        </w:rPr>
        <w:t xml:space="preserve">ducation and </w:t>
      </w:r>
      <w:r w:rsidR="0084264E">
        <w:rPr>
          <w:rFonts w:ascii="Garamond" w:hAnsi="Garamond"/>
        </w:rPr>
        <w:t>o</w:t>
      </w:r>
      <w:r w:rsidRPr="0084264E">
        <w:rPr>
          <w:rFonts w:ascii="Garamond" w:hAnsi="Garamond"/>
        </w:rPr>
        <w:t>utreach</w:t>
      </w:r>
      <w:r w:rsidR="0084264E">
        <w:rPr>
          <w:rFonts w:ascii="Garamond" w:hAnsi="Garamond"/>
        </w:rPr>
        <w:t>, database management, fish and fish hatcheries</w:t>
      </w:r>
      <w:r w:rsidR="00B94E5C">
        <w:rPr>
          <w:rFonts w:ascii="Garamond" w:hAnsi="Garamond"/>
        </w:rPr>
        <w:t>) as needed.</w:t>
      </w:r>
    </w:p>
    <w:p w:rsidR="00494B38" w:rsidRPr="0084264E" w:rsidRDefault="00B94E5C" w:rsidP="0084264E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Center will facilitate the </w:t>
      </w:r>
      <w:r w:rsidR="00DD6220" w:rsidRPr="0084264E">
        <w:rPr>
          <w:rFonts w:ascii="Garamond" w:hAnsi="Garamond"/>
        </w:rPr>
        <w:t>Task Force</w:t>
      </w:r>
      <w:r>
        <w:rPr>
          <w:rFonts w:ascii="Garamond" w:hAnsi="Garamond"/>
        </w:rPr>
        <w:t xml:space="preserve">’s process of adding new members along with </w:t>
      </w:r>
      <w:r w:rsidR="006A71BB" w:rsidRPr="0084264E">
        <w:rPr>
          <w:rFonts w:ascii="Garamond" w:hAnsi="Garamond"/>
        </w:rPr>
        <w:t xml:space="preserve">Task Force’s consideration of, and agreement on, needed changes to the group’s </w:t>
      </w:r>
      <w:r w:rsidR="0054266D" w:rsidRPr="0084264E">
        <w:rPr>
          <w:rFonts w:ascii="Garamond" w:hAnsi="Garamond"/>
        </w:rPr>
        <w:t>M</w:t>
      </w:r>
      <w:r>
        <w:rPr>
          <w:rFonts w:ascii="Garamond" w:hAnsi="Garamond"/>
        </w:rPr>
        <w:t xml:space="preserve">emorandum of </w:t>
      </w:r>
      <w:r w:rsidR="0054266D" w:rsidRPr="0084264E">
        <w:rPr>
          <w:rFonts w:ascii="Garamond" w:hAnsi="Garamond"/>
        </w:rPr>
        <w:t>A</w:t>
      </w:r>
      <w:r>
        <w:rPr>
          <w:rFonts w:ascii="Garamond" w:hAnsi="Garamond"/>
        </w:rPr>
        <w:t>greement (MOA) if that again becomes necessary</w:t>
      </w:r>
      <w:r w:rsidR="006A71BB" w:rsidRPr="0084264E">
        <w:rPr>
          <w:rFonts w:ascii="Garamond" w:hAnsi="Garamond"/>
        </w:rPr>
        <w:t>.</w:t>
      </w:r>
      <w:r w:rsidR="00792174" w:rsidRPr="0084264E">
        <w:rPr>
          <w:rFonts w:ascii="Garamond" w:hAnsi="Garamond"/>
        </w:rPr>
        <w:t xml:space="preserve"> The Center w</w:t>
      </w:r>
      <w:r>
        <w:rPr>
          <w:rFonts w:ascii="Garamond" w:hAnsi="Garamond"/>
        </w:rPr>
        <w:t>ou</w:t>
      </w:r>
      <w:r w:rsidR="00792174" w:rsidRPr="0084264E">
        <w:rPr>
          <w:rFonts w:ascii="Garamond" w:hAnsi="Garamond"/>
        </w:rPr>
        <w:t>l</w:t>
      </w:r>
      <w:r>
        <w:rPr>
          <w:rFonts w:ascii="Garamond" w:hAnsi="Garamond"/>
        </w:rPr>
        <w:t>d</w:t>
      </w:r>
      <w:r w:rsidR="00792174" w:rsidRPr="0084264E">
        <w:rPr>
          <w:rFonts w:ascii="Garamond" w:hAnsi="Garamond"/>
        </w:rPr>
        <w:t xml:space="preserve"> also assist in inviting new parties as identified by the Task Force after MOA legal review. </w:t>
      </w:r>
    </w:p>
    <w:p w:rsidR="00F758EB" w:rsidRPr="0084264E" w:rsidRDefault="00263157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>The Task Force will continue to work on documenting their activities and developing and i</w:t>
      </w:r>
      <w:r w:rsidR="0081499F" w:rsidRPr="0084264E">
        <w:rPr>
          <w:rFonts w:ascii="Garamond" w:hAnsi="Garamond"/>
        </w:rPr>
        <w:t>mplementing a communication strategy.</w:t>
      </w:r>
    </w:p>
    <w:p w:rsidR="002D7F0E" w:rsidRPr="0084264E" w:rsidRDefault="002D7F0E" w:rsidP="0084264E">
      <w:pPr>
        <w:ind w:left="720"/>
        <w:rPr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>The William D. Ruckelshaus Center</w:t>
      </w:r>
      <w:r w:rsidRPr="0084264E">
        <w:rPr>
          <w:rFonts w:ascii="Garamond" w:hAnsi="Garamond"/>
        </w:rPr>
        <w:t xml:space="preserve">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 xml:space="preserve">Email: </w:t>
      </w:r>
      <w:hyperlink r:id="rId8" w:history="1">
        <w:r w:rsidRPr="0084264E">
          <w:rPr>
            <w:rStyle w:val="Hyperlink"/>
            <w:rFonts w:ascii="Garamond" w:hAnsi="Garamond"/>
          </w:rPr>
          <w:t>ruckelshauscenter@wsu.edu</w:t>
        </w:r>
      </w:hyperlink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84264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655074" w:rsidRPr="0084264E" w:rsidRDefault="00655074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  <w:sectPr w:rsidR="002D7F0E" w:rsidRPr="0084264E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E4A7B" w:rsidRDefault="002E4A7B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bookmarkStart w:id="3" w:name="_GoBack"/>
      <w:bookmarkEnd w:id="3"/>
      <w:r w:rsidRPr="0084264E">
        <w:rPr>
          <w:rStyle w:val="Strong"/>
          <w:rFonts w:ascii="Garamond" w:hAnsi="Garamond"/>
        </w:rPr>
        <w:t xml:space="preserve">Seattle Office: </w:t>
      </w:r>
      <w:r w:rsidRPr="0084264E">
        <w:rPr>
          <w:rFonts w:ascii="Garamond" w:hAnsi="Garamond"/>
          <w:b/>
          <w:bCs/>
        </w:rPr>
        <w:br/>
      </w:r>
      <w:r w:rsidRPr="0084264E">
        <w:rPr>
          <w:rFonts w:ascii="Garamond" w:hAnsi="Garamond"/>
        </w:rPr>
        <w:t>901 - 5th Ave</w:t>
      </w:r>
      <w:r w:rsidR="00556337" w:rsidRPr="0084264E">
        <w:rPr>
          <w:rFonts w:ascii="Garamond" w:hAnsi="Garamond"/>
        </w:rPr>
        <w:t>nue, Suite 2900</w:t>
      </w:r>
      <w:r w:rsidR="00556337" w:rsidRPr="0084264E">
        <w:rPr>
          <w:rFonts w:ascii="Garamond" w:hAnsi="Garamond"/>
        </w:rPr>
        <w:br/>
        <w:t>Seattle, WA 98164</w:t>
      </w:r>
      <w:r w:rsidRPr="0084264E">
        <w:rPr>
          <w:rFonts w:ascii="Garamond" w:hAnsi="Garamond"/>
        </w:rPr>
        <w:t>-2040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(206) 428-3021</w:t>
      </w:r>
      <w:r w:rsidRPr="0084264E">
        <w:rPr>
          <w:rFonts w:ascii="Garamond" w:hAnsi="Garamond"/>
        </w:rPr>
        <w:br/>
        <w:t>Fax: (206) 448-1334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 xml:space="preserve">Pullman Office: </w:t>
      </w:r>
      <w:r w:rsidRPr="0084264E">
        <w:rPr>
          <w:rFonts w:ascii="Garamond" w:hAnsi="Garamond"/>
        </w:rPr>
        <w:br/>
        <w:t xml:space="preserve">P.O. Box 646248 </w:t>
      </w:r>
      <w:r w:rsidRPr="0084264E">
        <w:rPr>
          <w:rFonts w:ascii="Garamond" w:hAnsi="Garamond"/>
        </w:rPr>
        <w:br/>
        <w:t xml:space="preserve">Pullman, WA 99164-6248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(50</w:t>
      </w:r>
      <w:r w:rsidR="00AB6174" w:rsidRPr="0084264E">
        <w:rPr>
          <w:rFonts w:ascii="Garamond" w:hAnsi="Garamond"/>
        </w:rPr>
        <w:t>9) 335-2937</w:t>
      </w:r>
      <w:r w:rsidR="00AB6174" w:rsidRPr="0084264E">
        <w:rPr>
          <w:rFonts w:ascii="Garamond" w:hAnsi="Garamond"/>
        </w:rPr>
        <w:br/>
        <w:t>Fax: (509) 335-2926</w:t>
      </w: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sectPr w:rsidR="002D7F0E" w:rsidRPr="0084264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4E" w:rsidRDefault="0084264E">
      <w:r>
        <w:separator/>
      </w:r>
    </w:p>
  </w:endnote>
  <w:endnote w:type="continuationSeparator" w:id="0">
    <w:p w:rsidR="0084264E" w:rsidRDefault="0084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4E" w:rsidRDefault="008426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64E" w:rsidRDefault="00842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4E" w:rsidRDefault="0084264E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r w:rsidR="002E4A7B">
      <w:fldChar w:fldCharType="begin"/>
    </w:r>
    <w:r w:rsidR="002E4A7B">
      <w:instrText xml:space="preserve"> PAGE   \* MERGEFORMAT </w:instrText>
    </w:r>
    <w:r w:rsidR="002E4A7B">
      <w:fldChar w:fldCharType="separate"/>
    </w:r>
    <w:r w:rsidR="002E4A7B">
      <w:rPr>
        <w:noProof/>
      </w:rPr>
      <w:t>2</w:t>
    </w:r>
    <w:r w:rsidR="002E4A7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4E" w:rsidRDefault="0084264E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r w:rsidR="002E4A7B">
      <w:fldChar w:fldCharType="begin"/>
    </w:r>
    <w:r w:rsidR="002E4A7B">
      <w:instrText xml:space="preserve"> PAGE   \* MERGEFORMAT </w:instrText>
    </w:r>
    <w:r w:rsidR="002E4A7B">
      <w:fldChar w:fldCharType="separate"/>
    </w:r>
    <w:r w:rsidR="002E4A7B">
      <w:rPr>
        <w:noProof/>
      </w:rPr>
      <w:t>1</w:t>
    </w:r>
    <w:r w:rsidR="002E4A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4E" w:rsidRDefault="0084264E">
      <w:r>
        <w:separator/>
      </w:r>
    </w:p>
  </w:footnote>
  <w:footnote w:type="continuationSeparator" w:id="0">
    <w:p w:rsidR="0084264E" w:rsidRDefault="0084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64E" w:rsidRPr="0018407D" w:rsidRDefault="0084264E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 w15:restartNumberingAfterBreak="0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38788A"/>
    <w:multiLevelType w:val="hybridMultilevel"/>
    <w:tmpl w:val="FBDCD090"/>
    <w:lvl w:ilvl="0" w:tplc="CC381AD0">
      <w:start w:val="1"/>
      <w:numFmt w:val="bullet"/>
      <w:lvlText w:val=""/>
      <w:lvlJc w:val="left"/>
      <w:pPr>
        <w:ind w:left="479" w:hanging="180"/>
      </w:pPr>
      <w:rPr>
        <w:rFonts w:ascii="Symbol" w:eastAsia="Symbol" w:hAnsi="Symbol" w:hint="default"/>
        <w:w w:val="100"/>
      </w:rPr>
    </w:lvl>
    <w:lvl w:ilvl="1" w:tplc="E93C43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53869ED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12A0D8A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B74E28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F7294B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AAA83E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D610D4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496A98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5" w15:restartNumberingAfterBreak="0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23"/>
  </w:num>
  <w:num w:numId="16">
    <w:abstractNumId w:val="22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 w:numId="21">
    <w:abstractNumId w:val="20"/>
  </w:num>
  <w:num w:numId="22">
    <w:abstractNumId w:val="6"/>
  </w:num>
  <w:num w:numId="23">
    <w:abstractNumId w:val="11"/>
  </w:num>
  <w:num w:numId="24">
    <w:abstractNumId w:val="25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4D"/>
    <w:rsid w:val="00002FF3"/>
    <w:rsid w:val="0000558C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35D0"/>
    <w:rsid w:val="000D4F61"/>
    <w:rsid w:val="000E5B5F"/>
    <w:rsid w:val="000F1E6D"/>
    <w:rsid w:val="000F5C14"/>
    <w:rsid w:val="000F7CA9"/>
    <w:rsid w:val="00121138"/>
    <w:rsid w:val="00121B7E"/>
    <w:rsid w:val="00122F05"/>
    <w:rsid w:val="00131E72"/>
    <w:rsid w:val="001334FA"/>
    <w:rsid w:val="001429B9"/>
    <w:rsid w:val="00146E77"/>
    <w:rsid w:val="0015207A"/>
    <w:rsid w:val="00154469"/>
    <w:rsid w:val="00156765"/>
    <w:rsid w:val="0016115E"/>
    <w:rsid w:val="00162698"/>
    <w:rsid w:val="00171600"/>
    <w:rsid w:val="00173824"/>
    <w:rsid w:val="001754E6"/>
    <w:rsid w:val="00182F2C"/>
    <w:rsid w:val="0018407D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0D72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D7F0E"/>
    <w:rsid w:val="002E0238"/>
    <w:rsid w:val="002E0FD4"/>
    <w:rsid w:val="002E1B2C"/>
    <w:rsid w:val="002E4A7B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77BB8"/>
    <w:rsid w:val="003853BD"/>
    <w:rsid w:val="00390FEC"/>
    <w:rsid w:val="003C044F"/>
    <w:rsid w:val="003C4800"/>
    <w:rsid w:val="003C5285"/>
    <w:rsid w:val="003D1FA8"/>
    <w:rsid w:val="003D3010"/>
    <w:rsid w:val="003D56EC"/>
    <w:rsid w:val="003D6648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9B6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62A1"/>
    <w:rsid w:val="0064396A"/>
    <w:rsid w:val="00652C34"/>
    <w:rsid w:val="00654FE9"/>
    <w:rsid w:val="00655074"/>
    <w:rsid w:val="00655CB3"/>
    <w:rsid w:val="00656103"/>
    <w:rsid w:val="006565D7"/>
    <w:rsid w:val="00663B8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68A4"/>
    <w:rsid w:val="006A71BB"/>
    <w:rsid w:val="006B6ACA"/>
    <w:rsid w:val="006C6E07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4DD0"/>
    <w:rsid w:val="00777A50"/>
    <w:rsid w:val="00781603"/>
    <w:rsid w:val="00791E46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13A4"/>
    <w:rsid w:val="00813541"/>
    <w:rsid w:val="0081499F"/>
    <w:rsid w:val="008162F4"/>
    <w:rsid w:val="0084264E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6103F"/>
    <w:rsid w:val="00964D02"/>
    <w:rsid w:val="00965A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6666"/>
    <w:rsid w:val="009E60C0"/>
    <w:rsid w:val="009F1A42"/>
    <w:rsid w:val="009F3246"/>
    <w:rsid w:val="009F54AD"/>
    <w:rsid w:val="00A169DB"/>
    <w:rsid w:val="00A250B4"/>
    <w:rsid w:val="00A27B2E"/>
    <w:rsid w:val="00A40361"/>
    <w:rsid w:val="00A41CE7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B5D3E"/>
    <w:rsid w:val="00AB6174"/>
    <w:rsid w:val="00AD50D3"/>
    <w:rsid w:val="00AF4C16"/>
    <w:rsid w:val="00AF4F31"/>
    <w:rsid w:val="00B145B7"/>
    <w:rsid w:val="00B205E1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94E5C"/>
    <w:rsid w:val="00BA041F"/>
    <w:rsid w:val="00BA51F0"/>
    <w:rsid w:val="00BB052C"/>
    <w:rsid w:val="00BB3D4F"/>
    <w:rsid w:val="00BB6C0B"/>
    <w:rsid w:val="00BB70B2"/>
    <w:rsid w:val="00BD11A0"/>
    <w:rsid w:val="00BD3501"/>
    <w:rsid w:val="00BD428E"/>
    <w:rsid w:val="00BE147A"/>
    <w:rsid w:val="00BE6369"/>
    <w:rsid w:val="00C01ADC"/>
    <w:rsid w:val="00C0542E"/>
    <w:rsid w:val="00C16127"/>
    <w:rsid w:val="00C36C9D"/>
    <w:rsid w:val="00C422D4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A7C26"/>
    <w:rsid w:val="00CB7981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17ECD"/>
    <w:rsid w:val="00D20A20"/>
    <w:rsid w:val="00D218D8"/>
    <w:rsid w:val="00D243AF"/>
    <w:rsid w:val="00D41C80"/>
    <w:rsid w:val="00D41EFC"/>
    <w:rsid w:val="00D478EF"/>
    <w:rsid w:val="00D507CC"/>
    <w:rsid w:val="00D555DA"/>
    <w:rsid w:val="00D60493"/>
    <w:rsid w:val="00D61AB5"/>
    <w:rsid w:val="00D64AC7"/>
    <w:rsid w:val="00D65A08"/>
    <w:rsid w:val="00D65DDF"/>
    <w:rsid w:val="00D668B3"/>
    <w:rsid w:val="00D70646"/>
    <w:rsid w:val="00D743C6"/>
    <w:rsid w:val="00D748A3"/>
    <w:rsid w:val="00D75A1C"/>
    <w:rsid w:val="00D825BA"/>
    <w:rsid w:val="00D87CDE"/>
    <w:rsid w:val="00D929A1"/>
    <w:rsid w:val="00D92CCD"/>
    <w:rsid w:val="00D96B65"/>
    <w:rsid w:val="00DA1347"/>
    <w:rsid w:val="00DA7B6F"/>
    <w:rsid w:val="00DB3250"/>
    <w:rsid w:val="00DB6444"/>
    <w:rsid w:val="00DB79D4"/>
    <w:rsid w:val="00DC2F01"/>
    <w:rsid w:val="00DD4213"/>
    <w:rsid w:val="00DD50C6"/>
    <w:rsid w:val="00DD6220"/>
    <w:rsid w:val="00DE452C"/>
    <w:rsid w:val="00DF44C9"/>
    <w:rsid w:val="00E02AA1"/>
    <w:rsid w:val="00E17EE0"/>
    <w:rsid w:val="00E25C7C"/>
    <w:rsid w:val="00E266C9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03446C27-08EC-427A-830B-15F61A9A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2F0E-C4F5-438A-BC19-B8C4709F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Page, Chris</cp:lastModifiedBy>
  <cp:revision>13</cp:revision>
  <cp:lastPrinted>2014-02-07T00:20:00Z</cp:lastPrinted>
  <dcterms:created xsi:type="dcterms:W3CDTF">2015-09-28T16:03:00Z</dcterms:created>
  <dcterms:modified xsi:type="dcterms:W3CDTF">2015-09-28T19:46:00Z</dcterms:modified>
</cp:coreProperties>
</file>