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E5" w:rsidRPr="0084264E" w:rsidRDefault="002650E5" w:rsidP="0084264E">
      <w:pPr>
        <w:rPr>
          <w:rFonts w:ascii="Garamond" w:hAnsi="Garamond"/>
        </w:rPr>
      </w:pPr>
    </w:p>
    <w:p w:rsidR="00290250" w:rsidRPr="0084264E" w:rsidRDefault="00F820E4" w:rsidP="0084264E">
      <w:pPr>
        <w:pStyle w:val="Heading1"/>
        <w:rPr>
          <w:rFonts w:ascii="Garamond" w:hAnsi="Garamond" w:cs="Calibri"/>
          <w:szCs w:val="28"/>
        </w:rPr>
      </w:pPr>
      <w:r w:rsidRPr="0084264E">
        <w:rPr>
          <w:rFonts w:ascii="Garamond" w:hAnsi="Garamond" w:cs="Calibri"/>
          <w:szCs w:val="28"/>
        </w:rPr>
        <w:t>Spokane River Regional Toxics Task Force</w:t>
      </w:r>
    </w:p>
    <w:p w:rsidR="00F76D9A" w:rsidRPr="0084264E" w:rsidRDefault="00F76D9A" w:rsidP="0084264E">
      <w:pPr>
        <w:rPr>
          <w:rFonts w:ascii="Garamond" w:hAnsi="Garamond"/>
        </w:rPr>
      </w:pP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="00E85F02" w:rsidRPr="0084264E">
        <w:rPr>
          <w:rFonts w:ascii="Garamond" w:hAnsi="Garamond"/>
        </w:rPr>
        <w:tab/>
        <w:t xml:space="preserve"> </w:t>
      </w:r>
      <w:r w:rsidR="002765C4" w:rsidRPr="0084264E">
        <w:rPr>
          <w:rFonts w:ascii="Garamond" w:hAnsi="Garamond"/>
        </w:rPr>
        <w:t xml:space="preserve">   </w:t>
      </w:r>
      <w:r w:rsidRPr="0084264E">
        <w:rPr>
          <w:rFonts w:ascii="Garamond" w:hAnsi="Garamond"/>
        </w:rPr>
        <w:t>Q</w:t>
      </w:r>
      <w:r w:rsidR="005B7A1F" w:rsidRPr="0084264E">
        <w:rPr>
          <w:rFonts w:ascii="Garamond" w:hAnsi="Garamond"/>
        </w:rPr>
        <w:t>uarterly Report (</w:t>
      </w:r>
      <w:r w:rsidR="002B31C6">
        <w:rPr>
          <w:rFonts w:ascii="Garamond" w:hAnsi="Garamond"/>
        </w:rPr>
        <w:t>4</w:t>
      </w:r>
      <w:r w:rsidR="009E6C72">
        <w:rPr>
          <w:rFonts w:ascii="Garamond" w:hAnsi="Garamond"/>
        </w:rPr>
        <w:t>/1/16</w:t>
      </w:r>
      <w:r w:rsidR="00932AB6" w:rsidRPr="0084264E">
        <w:rPr>
          <w:rFonts w:ascii="Garamond" w:hAnsi="Garamond"/>
        </w:rPr>
        <w:t xml:space="preserve"> – </w:t>
      </w:r>
      <w:r w:rsidR="002B31C6">
        <w:rPr>
          <w:rFonts w:ascii="Garamond" w:hAnsi="Garamond"/>
        </w:rPr>
        <w:t>6</w:t>
      </w:r>
      <w:r w:rsidR="00500115" w:rsidRPr="0084264E">
        <w:rPr>
          <w:rFonts w:ascii="Garamond" w:hAnsi="Garamond"/>
        </w:rPr>
        <w:t>/3</w:t>
      </w:r>
      <w:r w:rsidR="002B31C6">
        <w:rPr>
          <w:rFonts w:ascii="Garamond" w:hAnsi="Garamond"/>
        </w:rPr>
        <w:t>0</w:t>
      </w:r>
      <w:r w:rsidR="009E6C72">
        <w:rPr>
          <w:rFonts w:ascii="Garamond" w:hAnsi="Garamond"/>
        </w:rPr>
        <w:t>/16</w:t>
      </w:r>
      <w:r w:rsidR="006F309E" w:rsidRPr="0084264E">
        <w:rPr>
          <w:rFonts w:ascii="Garamond" w:hAnsi="Garamond"/>
        </w:rPr>
        <w:t>)</w:t>
      </w:r>
    </w:p>
    <w:p w:rsidR="0018407D" w:rsidRPr="0084264E" w:rsidRDefault="0018407D" w:rsidP="0084264E">
      <w:pPr>
        <w:rPr>
          <w:rFonts w:ascii="Garamond" w:hAnsi="Garamond"/>
        </w:rPr>
      </w:pPr>
    </w:p>
    <w:p w:rsidR="0022317B" w:rsidRPr="0084264E" w:rsidRDefault="0022317B" w:rsidP="0084264E">
      <w:pPr>
        <w:rPr>
          <w:rFonts w:ascii="Garamond" w:hAnsi="Garamond"/>
        </w:rPr>
      </w:pPr>
      <w:r w:rsidRPr="0084264E">
        <w:rPr>
          <w:rFonts w:ascii="Garamond" w:hAnsi="Garamond"/>
          <w:b/>
        </w:rPr>
        <w:t>Project Staff:</w:t>
      </w:r>
      <w:r w:rsidR="009323D9" w:rsidRPr="0084264E">
        <w:rPr>
          <w:rFonts w:ascii="Garamond" w:hAnsi="Garamond"/>
        </w:rPr>
        <w:t xml:space="preserve"> Chris Page</w:t>
      </w:r>
      <w:r w:rsidR="00D41EFC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Facilitator;</w:t>
      </w:r>
      <w:r w:rsidR="00D41EFC" w:rsidRPr="0084264E">
        <w:rPr>
          <w:rFonts w:ascii="Garamond" w:hAnsi="Garamond"/>
        </w:rPr>
        <w:t xml:space="preserve"> </w:t>
      </w:r>
      <w:r w:rsidR="00C72017" w:rsidRPr="0084264E">
        <w:rPr>
          <w:rFonts w:ascii="Garamond" w:hAnsi="Garamond"/>
        </w:rPr>
        <w:t>Kara Whitman</w:t>
      </w:r>
      <w:r w:rsidR="00121B7E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Project Coordinator;</w:t>
      </w:r>
      <w:r w:rsidR="00121B7E" w:rsidRPr="0084264E">
        <w:rPr>
          <w:rFonts w:ascii="Garamond" w:hAnsi="Garamond"/>
        </w:rPr>
        <w:t xml:space="preserve"> Michael Kern,</w:t>
      </w:r>
      <w:r w:rsidR="00D70646" w:rsidRPr="0084264E">
        <w:rPr>
          <w:rFonts w:ascii="Garamond" w:hAnsi="Garamond"/>
        </w:rPr>
        <w:t xml:space="preserve"> Strategic Advisor;</w:t>
      </w:r>
      <w:r w:rsidR="00121B7E" w:rsidRPr="0084264E">
        <w:rPr>
          <w:rFonts w:ascii="Garamond" w:hAnsi="Garamond"/>
        </w:rPr>
        <w:t xml:space="preserve"> Cheryl Rajcich</w:t>
      </w:r>
      <w:r w:rsidR="00D70646" w:rsidRPr="0084264E">
        <w:rPr>
          <w:rFonts w:ascii="Garamond" w:hAnsi="Garamond"/>
        </w:rPr>
        <w:t xml:space="preserve">, </w:t>
      </w:r>
      <w:r w:rsidR="00D6580C">
        <w:rPr>
          <w:rFonts w:ascii="Garamond" w:hAnsi="Garamond"/>
        </w:rPr>
        <w:t xml:space="preserve">Operations </w:t>
      </w:r>
      <w:r w:rsidR="00D70646" w:rsidRPr="0084264E">
        <w:rPr>
          <w:rFonts w:ascii="Garamond" w:hAnsi="Garamond"/>
        </w:rPr>
        <w:t>Manager</w:t>
      </w:r>
      <w:r w:rsidR="00871107" w:rsidRPr="0084264E">
        <w:rPr>
          <w:rFonts w:ascii="Garamond" w:hAnsi="Garamond"/>
        </w:rPr>
        <w:t xml:space="preserve"> </w:t>
      </w:r>
    </w:p>
    <w:p w:rsidR="00F820E4" w:rsidRPr="0084264E" w:rsidRDefault="00F820E4" w:rsidP="0084264E">
      <w:pPr>
        <w:rPr>
          <w:rFonts w:ascii="Garamond" w:hAnsi="Garamond"/>
        </w:rPr>
      </w:pPr>
    </w:p>
    <w:p w:rsidR="0018407D" w:rsidRPr="0084264E" w:rsidRDefault="0022317B" w:rsidP="0084264E">
      <w:p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Project Purpose: </w:t>
      </w:r>
      <w:r w:rsidR="00D75A1C" w:rsidRPr="0084264E">
        <w:rPr>
          <w:rFonts w:ascii="Garamond" w:hAnsi="Garamond"/>
        </w:rPr>
        <w:t>The Spokane River Regional Toxics Task Force (SRRTTF) is a</w:t>
      </w:r>
      <w:r w:rsidR="00F820E4" w:rsidRPr="0084264E">
        <w:rPr>
          <w:rFonts w:ascii="Garamond" w:hAnsi="Garamond"/>
        </w:rPr>
        <w:t xml:space="preserve"> collaborative group of governmental agencies, private industries, environmental organizations</w:t>
      </w:r>
      <w:r w:rsidR="00D507CC" w:rsidRPr="0084264E">
        <w:rPr>
          <w:rFonts w:ascii="Garamond" w:hAnsi="Garamond"/>
        </w:rPr>
        <w:t>, and interested parties</w:t>
      </w:r>
      <w:r w:rsidR="00F820E4" w:rsidRPr="0084264E">
        <w:rPr>
          <w:rFonts w:ascii="Garamond" w:hAnsi="Garamond"/>
        </w:rPr>
        <w:t xml:space="preserve"> </w:t>
      </w:r>
      <w:r w:rsidR="00BD3501" w:rsidRPr="0084264E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Pr="0084264E" w:rsidRDefault="00187DCC" w:rsidP="00187DCC">
      <w:pPr>
        <w:tabs>
          <w:tab w:val="left" w:pos="525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E85F02" w:rsidRPr="0084264E" w:rsidRDefault="002B4E3C" w:rsidP="0084264E">
      <w:pPr>
        <w:spacing w:after="120"/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>Q</w:t>
      </w:r>
      <w:r w:rsidR="00AF4F31" w:rsidRPr="0084264E">
        <w:rPr>
          <w:rFonts w:ascii="Garamond" w:hAnsi="Garamond"/>
          <w:b/>
        </w:rPr>
        <w:t>1</w:t>
      </w:r>
      <w:r w:rsidR="002B31C6">
        <w:rPr>
          <w:rFonts w:ascii="Garamond" w:hAnsi="Garamond"/>
          <w:b/>
        </w:rPr>
        <w:t>6</w:t>
      </w:r>
      <w:r w:rsidR="009E60C0" w:rsidRPr="0084264E">
        <w:rPr>
          <w:rFonts w:ascii="Garamond" w:hAnsi="Garamond"/>
          <w:b/>
        </w:rPr>
        <w:t xml:space="preserve"> </w:t>
      </w:r>
      <w:r w:rsidR="003F4F96" w:rsidRPr="0084264E">
        <w:rPr>
          <w:rFonts w:ascii="Garamond" w:hAnsi="Garamond"/>
          <w:b/>
        </w:rPr>
        <w:t>Meeting Schedule</w:t>
      </w:r>
      <w:r w:rsidR="00290250" w:rsidRPr="0084264E">
        <w:rPr>
          <w:rFonts w:ascii="Garamond" w:hAnsi="Garamond"/>
          <w:b/>
        </w:rPr>
        <w:t>:</w:t>
      </w: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523"/>
        <w:gridCol w:w="720"/>
        <w:gridCol w:w="816"/>
        <w:gridCol w:w="695"/>
        <w:gridCol w:w="695"/>
        <w:gridCol w:w="695"/>
        <w:gridCol w:w="695"/>
        <w:gridCol w:w="695"/>
        <w:gridCol w:w="695"/>
        <w:gridCol w:w="695"/>
      </w:tblGrid>
      <w:tr w:rsidR="00014508" w:rsidRPr="0084264E" w:rsidTr="00132DA6">
        <w:trPr>
          <w:trHeight w:val="315"/>
          <w:jc w:val="center"/>
        </w:trPr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8" w:rsidRPr="0084264E" w:rsidRDefault="00014508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014508" w:rsidRPr="0084264E" w:rsidRDefault="00014508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FFFFFF"/>
                <w:sz w:val="22"/>
                <w:szCs w:val="22"/>
              </w:rPr>
              <w:t>April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8" w:rsidRPr="0084264E" w:rsidRDefault="00014508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4508" w:rsidRPr="0084264E" w:rsidRDefault="00014508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8" w:rsidRPr="0084264E" w:rsidRDefault="00014508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bottom"/>
          </w:tcPr>
          <w:p w:rsidR="00014508" w:rsidRDefault="00014508" w:rsidP="0084264E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014508" w:rsidRPr="0084264E" w:rsidTr="00132DA6">
        <w:trPr>
          <w:trHeight w:val="448"/>
          <w:jc w:val="center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              2016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</w:tcPr>
          <w:p w:rsidR="00014508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014508" w:rsidRPr="00BD59DE" w:rsidRDefault="00014508" w:rsidP="00FA101F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D59D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</w:t>
            </w: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T/TF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</w:tcPr>
          <w:p w:rsidR="00014508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</w:tr>
      <w:tr w:rsidR="00014508" w:rsidRPr="0084264E" w:rsidTr="00132DA6">
        <w:trPr>
          <w:trHeight w:val="484"/>
          <w:jc w:val="center"/>
        </w:trPr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014508" w:rsidRPr="0084264E" w:rsidRDefault="00AE6489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014508" w:rsidRPr="00BD59DE" w:rsidRDefault="00014508" w:rsidP="00FA101F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</w:t>
            </w:r>
            <w:r w:rsidR="00AE648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014508" w:rsidRPr="0084264E" w:rsidRDefault="00132DA6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014508" w:rsidRPr="0084264E" w:rsidRDefault="00132DA6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15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</w:tcPr>
          <w:p w:rsidR="00014508" w:rsidRDefault="00014508" w:rsidP="00AD27F5">
            <w:pPr>
              <w:spacing w:before="120"/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  <w:r w:rsidR="00132DA6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</w:p>
        </w:tc>
      </w:tr>
      <w:tr w:rsidR="00014508" w:rsidRPr="0084264E" w:rsidTr="00132DA6">
        <w:trPr>
          <w:trHeight w:val="412"/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08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014508" w:rsidRPr="0084264E" w:rsidTr="00132DA6">
        <w:trPr>
          <w:trHeight w:val="340"/>
          <w:jc w:val="center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508" w:rsidRPr="0084264E" w:rsidRDefault="00014508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8" w:rsidRPr="0084264E" w:rsidRDefault="00014508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08" w:rsidRDefault="00132DA6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</w:tbl>
    <w:p w:rsidR="00156765" w:rsidRPr="00E25C7C" w:rsidRDefault="00E25C7C" w:rsidP="00E25C7C">
      <w:pPr>
        <w:rPr>
          <w:rFonts w:ascii="Garamond" w:hAnsi="Garamond"/>
          <w:i/>
        </w:rPr>
      </w:pPr>
      <w:r w:rsidRPr="00E25C7C">
        <w:rPr>
          <w:rFonts w:ascii="Garamond" w:hAnsi="Garamond"/>
          <w:i/>
        </w:rPr>
        <w:t>TT: Technical Track Work Group</w:t>
      </w:r>
    </w:p>
    <w:p w:rsidR="00E25C7C" w:rsidRDefault="00E25C7C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TF: Task Force</w:t>
      </w:r>
    </w:p>
    <w:p w:rsidR="00FE0CB8" w:rsidRPr="0084264E" w:rsidRDefault="00FE0CB8" w:rsidP="0084264E">
      <w:pPr>
        <w:rPr>
          <w:rFonts w:ascii="Garamond" w:hAnsi="Garamond"/>
          <w:b/>
          <w:bCs/>
        </w:rPr>
      </w:pPr>
      <w:bookmarkStart w:id="0" w:name="RANGE!A11:Z16"/>
      <w:bookmarkStart w:id="1" w:name="RANGE!A11:AD15"/>
      <w:bookmarkEnd w:id="0"/>
      <w:bookmarkEnd w:id="1"/>
    </w:p>
    <w:p w:rsidR="00085CE1" w:rsidRPr="0084264E" w:rsidRDefault="00F820E4" w:rsidP="0084264E">
      <w:pPr>
        <w:tabs>
          <w:tab w:val="left" w:pos="5364"/>
        </w:tabs>
        <w:rPr>
          <w:rFonts w:ascii="Garamond" w:hAnsi="Garamond"/>
          <w:b/>
        </w:rPr>
      </w:pPr>
      <w:bookmarkStart w:id="2" w:name="OLE_LINK2"/>
      <w:r w:rsidRPr="0084264E">
        <w:rPr>
          <w:rFonts w:ascii="Garamond" w:hAnsi="Garamond"/>
          <w:b/>
        </w:rPr>
        <w:t>Project highlights</w:t>
      </w:r>
      <w:r w:rsidR="007D7EDE" w:rsidRPr="0084264E">
        <w:rPr>
          <w:rFonts w:ascii="Garamond" w:hAnsi="Garamond"/>
          <w:b/>
        </w:rPr>
        <w:t>:</w:t>
      </w:r>
      <w:r w:rsidR="009A4226" w:rsidRPr="0084264E">
        <w:rPr>
          <w:rFonts w:ascii="Garamond" w:hAnsi="Garamond"/>
          <w:b/>
        </w:rPr>
        <w:tab/>
      </w:r>
    </w:p>
    <w:bookmarkEnd w:id="2"/>
    <w:p w:rsidR="00495B4F" w:rsidRPr="0084264E" w:rsidRDefault="00D70646" w:rsidP="0084264E">
      <w:pPr>
        <w:numPr>
          <w:ilvl w:val="0"/>
          <w:numId w:val="13"/>
        </w:num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Meetings: </w:t>
      </w:r>
      <w:r w:rsidR="00CA7C26">
        <w:rPr>
          <w:rFonts w:ascii="Garamond" w:hAnsi="Garamond"/>
        </w:rPr>
        <w:t>F</w:t>
      </w:r>
      <w:r w:rsidR="00500115" w:rsidRPr="0084264E">
        <w:rPr>
          <w:rFonts w:ascii="Garamond" w:hAnsi="Garamond"/>
        </w:rPr>
        <w:t>acilitator Chris Page</w:t>
      </w:r>
      <w:r w:rsidR="00255BC5" w:rsidRPr="0084264E">
        <w:rPr>
          <w:rFonts w:ascii="Garamond" w:hAnsi="Garamond"/>
        </w:rPr>
        <w:t xml:space="preserve"> </w:t>
      </w:r>
      <w:r w:rsidR="006A71BB" w:rsidRPr="0084264E">
        <w:rPr>
          <w:rFonts w:ascii="Garamond" w:hAnsi="Garamond"/>
        </w:rPr>
        <w:t>develop</w:t>
      </w:r>
      <w:r w:rsidR="00983D52" w:rsidRPr="0084264E">
        <w:rPr>
          <w:rFonts w:ascii="Garamond" w:hAnsi="Garamond"/>
        </w:rPr>
        <w:t xml:space="preserve">ed meeting agendas </w:t>
      </w:r>
      <w:r w:rsidR="00656103" w:rsidRPr="0084264E">
        <w:rPr>
          <w:rFonts w:ascii="Garamond" w:hAnsi="Garamond"/>
        </w:rPr>
        <w:t>for</w:t>
      </w:r>
      <w:r w:rsidR="00132DA6">
        <w:rPr>
          <w:rFonts w:ascii="Garamond" w:hAnsi="Garamond"/>
        </w:rPr>
        <w:t xml:space="preserve"> seven</w:t>
      </w:r>
      <w:r w:rsidR="00AD27F5">
        <w:rPr>
          <w:rFonts w:ascii="Garamond" w:hAnsi="Garamond"/>
        </w:rPr>
        <w:t xml:space="preserve"> </w:t>
      </w:r>
      <w:r w:rsidR="00500115" w:rsidRPr="0084264E">
        <w:rPr>
          <w:rFonts w:ascii="Garamond" w:hAnsi="Garamond"/>
        </w:rPr>
        <w:t>meetings</w:t>
      </w:r>
      <w:r w:rsidR="00AD27F5">
        <w:rPr>
          <w:rFonts w:ascii="Garamond" w:hAnsi="Garamond"/>
        </w:rPr>
        <w:t xml:space="preserve"> </w:t>
      </w:r>
      <w:r w:rsidR="004A02F1" w:rsidRPr="0084264E">
        <w:rPr>
          <w:rFonts w:ascii="Garamond" w:hAnsi="Garamond"/>
        </w:rPr>
        <w:t xml:space="preserve">including </w:t>
      </w:r>
      <w:r w:rsidR="00132DA6">
        <w:rPr>
          <w:rFonts w:ascii="Garamond" w:hAnsi="Garamond"/>
        </w:rPr>
        <w:t>three</w:t>
      </w:r>
      <w:r w:rsidR="00AA4CA3">
        <w:rPr>
          <w:rFonts w:ascii="Garamond" w:hAnsi="Garamond"/>
        </w:rPr>
        <w:t xml:space="preserve"> </w:t>
      </w:r>
      <w:r w:rsidR="00743196" w:rsidRPr="0084264E">
        <w:rPr>
          <w:rFonts w:ascii="Garamond" w:hAnsi="Garamond"/>
        </w:rPr>
        <w:t xml:space="preserve">Task </w:t>
      </w:r>
      <w:r w:rsidR="00F76D9A" w:rsidRPr="0084264E">
        <w:rPr>
          <w:rFonts w:ascii="Garamond" w:hAnsi="Garamond"/>
        </w:rPr>
        <w:t>Force meetings</w:t>
      </w:r>
      <w:r w:rsidR="00AD27F5">
        <w:rPr>
          <w:rFonts w:ascii="Garamond" w:hAnsi="Garamond"/>
        </w:rPr>
        <w:t>,</w:t>
      </w:r>
      <w:r w:rsidR="009B1CB2" w:rsidRPr="0084264E">
        <w:rPr>
          <w:rFonts w:ascii="Garamond" w:hAnsi="Garamond"/>
        </w:rPr>
        <w:t xml:space="preserve"> </w:t>
      </w:r>
      <w:r w:rsidR="00DB6444" w:rsidRPr="0084264E">
        <w:rPr>
          <w:rFonts w:ascii="Garamond" w:hAnsi="Garamond"/>
        </w:rPr>
        <w:t>three</w:t>
      </w:r>
      <w:r w:rsidR="004A02F1" w:rsidRPr="0084264E">
        <w:rPr>
          <w:rFonts w:ascii="Garamond" w:hAnsi="Garamond"/>
        </w:rPr>
        <w:t xml:space="preserve"> T</w:t>
      </w:r>
      <w:r w:rsidR="005B7A1F" w:rsidRPr="0084264E">
        <w:rPr>
          <w:rFonts w:ascii="Garamond" w:hAnsi="Garamond"/>
        </w:rPr>
        <w:t>echnical Track Work Group</w:t>
      </w:r>
      <w:r w:rsidR="00871107" w:rsidRPr="0084264E">
        <w:rPr>
          <w:rFonts w:ascii="Garamond" w:hAnsi="Garamond"/>
        </w:rPr>
        <w:t xml:space="preserve"> </w:t>
      </w:r>
      <w:r w:rsidR="00656103" w:rsidRPr="0084264E">
        <w:rPr>
          <w:rFonts w:ascii="Garamond" w:hAnsi="Garamond"/>
        </w:rPr>
        <w:t xml:space="preserve">(TTWG) </w:t>
      </w:r>
      <w:r w:rsidR="00871107" w:rsidRPr="0084264E">
        <w:rPr>
          <w:rFonts w:ascii="Garamond" w:hAnsi="Garamond"/>
        </w:rPr>
        <w:t>meetings</w:t>
      </w:r>
      <w:r w:rsidR="00AD27F5">
        <w:rPr>
          <w:rFonts w:ascii="Garamond" w:hAnsi="Garamond"/>
        </w:rPr>
        <w:t>,</w:t>
      </w:r>
      <w:r w:rsidR="00132DA6">
        <w:rPr>
          <w:rFonts w:ascii="Garamond" w:hAnsi="Garamond"/>
        </w:rPr>
        <w:t xml:space="preserve"> one combined Task Force and Technical Track Work Group Meeting. </w:t>
      </w:r>
      <w:r w:rsidR="00656103" w:rsidRPr="0084264E">
        <w:rPr>
          <w:rFonts w:ascii="Garamond" w:hAnsi="Garamond"/>
        </w:rPr>
        <w:t>Chris</w:t>
      </w:r>
      <w:r w:rsidR="00AB248A">
        <w:rPr>
          <w:rFonts w:ascii="Garamond" w:hAnsi="Garamond"/>
        </w:rPr>
        <w:t xml:space="preserve"> also</w:t>
      </w:r>
      <w:r w:rsidR="00656103" w:rsidRPr="0084264E">
        <w:rPr>
          <w:rFonts w:ascii="Garamond" w:hAnsi="Garamond"/>
        </w:rPr>
        <w:t xml:space="preserve"> facilitated</w:t>
      </w:r>
      <w:r w:rsidR="00781603" w:rsidRPr="0084264E">
        <w:rPr>
          <w:rFonts w:ascii="Garamond" w:hAnsi="Garamond"/>
        </w:rPr>
        <w:t xml:space="preserve"> </w:t>
      </w:r>
      <w:r w:rsidR="00AA4CA3">
        <w:rPr>
          <w:rFonts w:ascii="Garamond" w:hAnsi="Garamond"/>
        </w:rPr>
        <w:t xml:space="preserve">those </w:t>
      </w:r>
      <w:r w:rsidR="00132DA6">
        <w:rPr>
          <w:rFonts w:ascii="Garamond" w:hAnsi="Garamond"/>
        </w:rPr>
        <w:t>seven</w:t>
      </w:r>
      <w:r w:rsidR="00C42F52">
        <w:rPr>
          <w:rFonts w:ascii="Garamond" w:hAnsi="Garamond"/>
        </w:rPr>
        <w:t xml:space="preserve"> </w:t>
      </w:r>
      <w:r w:rsidR="006A68A4" w:rsidRPr="0084264E">
        <w:rPr>
          <w:rFonts w:ascii="Garamond" w:hAnsi="Garamond"/>
        </w:rPr>
        <w:t>Task Force and</w:t>
      </w:r>
      <w:r w:rsidR="00C16127" w:rsidRPr="0084264E">
        <w:rPr>
          <w:rFonts w:ascii="Garamond" w:hAnsi="Garamond"/>
        </w:rPr>
        <w:t xml:space="preserve"> TTWG</w:t>
      </w:r>
      <w:r w:rsidR="00AB248A" w:rsidRPr="00AB248A">
        <w:rPr>
          <w:rFonts w:ascii="Garamond" w:hAnsi="Garamond"/>
        </w:rPr>
        <w:t xml:space="preserve"> </w:t>
      </w:r>
      <w:r w:rsidR="00AB248A" w:rsidRPr="0084264E">
        <w:rPr>
          <w:rFonts w:ascii="Garamond" w:hAnsi="Garamond"/>
        </w:rPr>
        <w:t>meetings</w:t>
      </w:r>
      <w:r w:rsidR="00CF7550" w:rsidRPr="0084264E">
        <w:rPr>
          <w:rFonts w:ascii="Garamond" w:hAnsi="Garamond"/>
        </w:rPr>
        <w:t xml:space="preserve">. </w:t>
      </w:r>
      <w:r w:rsidR="00CA7C26">
        <w:rPr>
          <w:rFonts w:ascii="Garamond" w:hAnsi="Garamond"/>
        </w:rPr>
        <w:t>Kara Whitman drafted and distributed announcements</w:t>
      </w:r>
      <w:r w:rsidR="00983D52" w:rsidRPr="0084264E">
        <w:rPr>
          <w:rFonts w:ascii="Garamond" w:hAnsi="Garamond"/>
        </w:rPr>
        <w:t xml:space="preserve">, </w:t>
      </w:r>
      <w:r w:rsidR="00F76D9A" w:rsidRPr="0084264E">
        <w:rPr>
          <w:rFonts w:ascii="Garamond" w:hAnsi="Garamond"/>
        </w:rPr>
        <w:t>materials</w:t>
      </w:r>
      <w:r w:rsidR="003F4F96" w:rsidRPr="0084264E">
        <w:rPr>
          <w:rFonts w:ascii="Garamond" w:hAnsi="Garamond"/>
        </w:rPr>
        <w:t>, and summaries</w:t>
      </w:r>
      <w:r w:rsidR="00D02635" w:rsidRPr="0084264E">
        <w:rPr>
          <w:rFonts w:ascii="Garamond" w:hAnsi="Garamond"/>
        </w:rPr>
        <w:t xml:space="preserve"> </w:t>
      </w:r>
      <w:r w:rsidR="00D41EFC" w:rsidRPr="0084264E">
        <w:rPr>
          <w:rFonts w:ascii="Garamond" w:hAnsi="Garamond"/>
        </w:rPr>
        <w:t>for each meeting</w:t>
      </w:r>
      <w:r w:rsidR="00C33403">
        <w:rPr>
          <w:rFonts w:ascii="Garamond" w:hAnsi="Garamond"/>
        </w:rPr>
        <w:t xml:space="preserve">. Kara also helped manage communications at the meetings including conference phones, presentations, and the use of webinars. </w:t>
      </w:r>
    </w:p>
    <w:p w:rsidR="00C01ADC" w:rsidRPr="0084264E" w:rsidRDefault="00D70646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Website Management: </w:t>
      </w:r>
      <w:r w:rsidR="001F5924" w:rsidRPr="0084264E">
        <w:rPr>
          <w:rFonts w:ascii="Garamond" w:hAnsi="Garamond"/>
        </w:rPr>
        <w:t xml:space="preserve">Kara </w:t>
      </w:r>
      <w:r w:rsidR="00983D52" w:rsidRPr="0084264E">
        <w:rPr>
          <w:rFonts w:ascii="Garamond" w:hAnsi="Garamond"/>
        </w:rPr>
        <w:t xml:space="preserve">managed and updated the </w:t>
      </w:r>
      <w:r w:rsidR="00BB3D4F" w:rsidRPr="0084264E">
        <w:rPr>
          <w:rFonts w:ascii="Garamond" w:hAnsi="Garamond"/>
        </w:rPr>
        <w:t>web page on behalf of the Task F</w:t>
      </w:r>
      <w:r w:rsidRPr="0084264E">
        <w:rPr>
          <w:rFonts w:ascii="Garamond" w:hAnsi="Garamond"/>
        </w:rPr>
        <w:t>orce f</w:t>
      </w:r>
      <w:r w:rsidR="00D02635" w:rsidRPr="0084264E">
        <w:rPr>
          <w:rFonts w:ascii="Garamond" w:hAnsi="Garamond"/>
        </w:rPr>
        <w:t xml:space="preserve">or </w:t>
      </w:r>
      <w:r w:rsidR="00633FAB">
        <w:rPr>
          <w:rFonts w:ascii="Garamond" w:hAnsi="Garamond"/>
        </w:rPr>
        <w:t xml:space="preserve">all </w:t>
      </w:r>
      <w:r w:rsidR="00983D52" w:rsidRPr="0084264E">
        <w:rPr>
          <w:rFonts w:ascii="Garamond" w:hAnsi="Garamond"/>
        </w:rPr>
        <w:t>meeting</w:t>
      </w:r>
      <w:r w:rsidR="00BB3D4F" w:rsidRPr="0084264E">
        <w:rPr>
          <w:rFonts w:ascii="Garamond" w:hAnsi="Garamond"/>
        </w:rPr>
        <w:t>s facilitated by the Ruckelshaus Center</w:t>
      </w:r>
      <w:r w:rsidRPr="0084264E">
        <w:rPr>
          <w:rFonts w:ascii="Garamond" w:hAnsi="Garamond"/>
        </w:rPr>
        <w:t>.</w:t>
      </w:r>
      <w:r w:rsidR="00BB3D4F" w:rsidRPr="0084264E">
        <w:rPr>
          <w:rFonts w:ascii="Garamond" w:hAnsi="Garamond"/>
        </w:rPr>
        <w:t xml:space="preserve"> </w:t>
      </w:r>
      <w:r w:rsidRPr="0084264E">
        <w:rPr>
          <w:rFonts w:ascii="Garamond" w:hAnsi="Garamond"/>
        </w:rPr>
        <w:t>T</w:t>
      </w:r>
      <w:r w:rsidR="00BB3D4F" w:rsidRPr="0084264E">
        <w:rPr>
          <w:rFonts w:ascii="Garamond" w:hAnsi="Garamond"/>
        </w:rPr>
        <w:t>his included posting meeting announcements,</w:t>
      </w:r>
      <w:r w:rsidR="00983D52" w:rsidRPr="0084264E">
        <w:rPr>
          <w:rFonts w:ascii="Garamond" w:hAnsi="Garamond"/>
        </w:rPr>
        <w:t xml:space="preserve"> materials</w:t>
      </w:r>
      <w:r w:rsidR="00E85F02" w:rsidRPr="0084264E">
        <w:rPr>
          <w:rFonts w:ascii="Garamond" w:hAnsi="Garamond"/>
        </w:rPr>
        <w:t xml:space="preserve"> and supporting documents</w:t>
      </w:r>
      <w:r w:rsidR="00BB3D4F" w:rsidRPr="0084264E">
        <w:rPr>
          <w:rFonts w:ascii="Garamond" w:hAnsi="Garamond"/>
        </w:rPr>
        <w:t>, and meeting summaries</w:t>
      </w:r>
      <w:r w:rsidR="00663B88" w:rsidRPr="0084264E">
        <w:rPr>
          <w:rFonts w:ascii="Garamond" w:hAnsi="Garamond"/>
        </w:rPr>
        <w:t>.</w:t>
      </w:r>
      <w:r w:rsidR="00132DA6">
        <w:rPr>
          <w:rFonts w:ascii="Garamond" w:hAnsi="Garamond"/>
        </w:rPr>
        <w:t xml:space="preserve"> Kara also added</w:t>
      </w:r>
      <w:r w:rsidR="00A42CA6">
        <w:rPr>
          <w:rFonts w:ascii="Garamond" w:hAnsi="Garamond"/>
        </w:rPr>
        <w:t xml:space="preserve"> a</w:t>
      </w:r>
      <w:r w:rsidR="00132DA6">
        <w:rPr>
          <w:rFonts w:ascii="Garamond" w:hAnsi="Garamond"/>
        </w:rPr>
        <w:t xml:space="preserve"> new organizational </w:t>
      </w:r>
      <w:r w:rsidR="00A42CA6">
        <w:rPr>
          <w:rFonts w:ascii="Garamond" w:hAnsi="Garamond"/>
        </w:rPr>
        <w:t>page (Site Map)</w:t>
      </w:r>
      <w:r w:rsidR="00132DA6">
        <w:rPr>
          <w:rFonts w:ascii="Garamond" w:hAnsi="Garamond"/>
        </w:rPr>
        <w:t xml:space="preserve"> to the webpage and updated the 2015 Task Force Year-in-Review.</w:t>
      </w:r>
      <w:r w:rsidR="00A42CA6">
        <w:rPr>
          <w:rFonts w:ascii="Garamond" w:hAnsi="Garamond"/>
        </w:rPr>
        <w:t xml:space="preserve"> Kara also added a Comprehensive Plan page on the website to house all information related to the development of the Comprehensive Plan, including: scope and timeline, draft and final versions of memos, comments and revisions on memos,</w:t>
      </w:r>
      <w:r w:rsidR="00835586">
        <w:rPr>
          <w:rFonts w:ascii="Garamond" w:hAnsi="Garamond"/>
        </w:rPr>
        <w:t xml:space="preserve"> and </w:t>
      </w:r>
      <w:r w:rsidR="00A42CA6">
        <w:rPr>
          <w:rFonts w:ascii="Garamond" w:hAnsi="Garamond"/>
        </w:rPr>
        <w:t xml:space="preserve">more. </w:t>
      </w:r>
    </w:p>
    <w:p w:rsidR="00AB6174" w:rsidRPr="0084264E" w:rsidRDefault="00C01ADC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Technical Advisor: </w:t>
      </w:r>
      <w:r w:rsidRPr="0084264E">
        <w:rPr>
          <w:rFonts w:ascii="Garamond" w:hAnsi="Garamond"/>
        </w:rPr>
        <w:t xml:space="preserve">The Task Force worked with the Technical Advisor </w:t>
      </w:r>
      <w:r w:rsidR="00D507CC" w:rsidRPr="0084264E">
        <w:rPr>
          <w:rFonts w:ascii="Garamond" w:hAnsi="Garamond"/>
        </w:rPr>
        <w:t>(</w:t>
      </w:r>
      <w:r w:rsidRPr="0084264E">
        <w:rPr>
          <w:rFonts w:ascii="Garamond" w:hAnsi="Garamond"/>
        </w:rPr>
        <w:t>Limno</w:t>
      </w:r>
      <w:r w:rsidR="00285244" w:rsidRPr="0084264E">
        <w:rPr>
          <w:rFonts w:ascii="Garamond" w:hAnsi="Garamond"/>
        </w:rPr>
        <w:t>Tech</w:t>
      </w:r>
      <w:r w:rsidR="00D507CC" w:rsidRPr="0084264E">
        <w:rPr>
          <w:rFonts w:ascii="Garamond" w:hAnsi="Garamond"/>
        </w:rPr>
        <w:t>)</w:t>
      </w:r>
      <w:r w:rsidR="00285244" w:rsidRPr="0084264E">
        <w:rPr>
          <w:rFonts w:ascii="Garamond" w:hAnsi="Garamond"/>
        </w:rPr>
        <w:t xml:space="preserve"> </w:t>
      </w:r>
      <w:r w:rsidR="00791E46">
        <w:rPr>
          <w:rFonts w:ascii="Garamond" w:hAnsi="Garamond"/>
        </w:rPr>
        <w:t xml:space="preserve">and other technical staff (Department of Ecology Environmental Assessment Program staff, </w:t>
      </w:r>
      <w:r w:rsidR="00791E46">
        <w:rPr>
          <w:rFonts w:ascii="Garamond" w:hAnsi="Garamond"/>
        </w:rPr>
        <w:lastRenderedPageBreak/>
        <w:t xml:space="preserve">representatives from Task Force entities, and TTWG Chair Bud Leber) </w:t>
      </w:r>
      <w:r w:rsidR="00285244" w:rsidRPr="0084264E">
        <w:rPr>
          <w:rFonts w:ascii="Garamond" w:hAnsi="Garamond"/>
        </w:rPr>
        <w:t xml:space="preserve">to </w:t>
      </w:r>
      <w:r w:rsidR="00663B88" w:rsidRPr="0084264E">
        <w:rPr>
          <w:rFonts w:ascii="Garamond" w:hAnsi="Garamond"/>
        </w:rPr>
        <w:t>assist in Task Force understanding of technical issues</w:t>
      </w:r>
      <w:r w:rsidR="00AD27F5">
        <w:rPr>
          <w:rFonts w:ascii="Garamond" w:hAnsi="Garamond"/>
        </w:rPr>
        <w:t>,</w:t>
      </w:r>
      <w:r w:rsidR="00663B88" w:rsidRPr="0084264E">
        <w:rPr>
          <w:rFonts w:ascii="Garamond" w:hAnsi="Garamond"/>
        </w:rPr>
        <w:t xml:space="preserve"> to ensure </w:t>
      </w:r>
      <w:r w:rsidR="00633FAB">
        <w:rPr>
          <w:rFonts w:ascii="Garamond" w:hAnsi="Garamond"/>
        </w:rPr>
        <w:t xml:space="preserve">adequate vetting of </w:t>
      </w:r>
      <w:r w:rsidR="00791E46">
        <w:rPr>
          <w:rFonts w:ascii="Garamond" w:hAnsi="Garamond"/>
        </w:rPr>
        <w:t xml:space="preserve">presentations and reports </w:t>
      </w:r>
      <w:r w:rsidR="00663B88" w:rsidRPr="0084264E">
        <w:rPr>
          <w:rFonts w:ascii="Garamond" w:hAnsi="Garamond"/>
        </w:rPr>
        <w:t>before meetings</w:t>
      </w:r>
      <w:r w:rsidR="00AD27F5">
        <w:rPr>
          <w:rFonts w:ascii="Garamond" w:hAnsi="Garamond"/>
        </w:rPr>
        <w:t>, and to enable the TTWG to discuss and recommend next steps on technical issues to the full SRRTTF for decisions and actions</w:t>
      </w:r>
      <w:r w:rsidR="00663B88" w:rsidRPr="0084264E">
        <w:rPr>
          <w:rFonts w:ascii="Garamond" w:hAnsi="Garamond"/>
        </w:rPr>
        <w:t>.</w:t>
      </w:r>
      <w:r w:rsidR="00835586">
        <w:rPr>
          <w:rFonts w:ascii="Garamond" w:hAnsi="Garamond"/>
        </w:rPr>
        <w:t xml:space="preserve"> The Ruckelshaus Center also assisted in communication</w:t>
      </w:r>
      <w:r w:rsidR="00353C96">
        <w:rPr>
          <w:rFonts w:ascii="Garamond" w:hAnsi="Garamond"/>
        </w:rPr>
        <w:t xml:space="preserve"> </w:t>
      </w:r>
      <w:r w:rsidR="00835586">
        <w:rPr>
          <w:rFonts w:ascii="Garamond" w:hAnsi="Garamond"/>
        </w:rPr>
        <w:t xml:space="preserve">with Dr. Lisa Rodenburg on potential </w:t>
      </w:r>
      <w:r w:rsidR="003D135C">
        <w:rPr>
          <w:rFonts w:ascii="Garamond" w:hAnsi="Garamond"/>
        </w:rPr>
        <w:t>PCB Pattern Analysis study utilizing Task Fo</w:t>
      </w:r>
      <w:r w:rsidR="00353C96">
        <w:rPr>
          <w:rFonts w:ascii="Garamond" w:hAnsi="Garamond"/>
        </w:rPr>
        <w:t xml:space="preserve">rce PCB data collected to date. This included sending a Task Force drafted </w:t>
      </w:r>
      <w:r w:rsidR="00353C96">
        <w:rPr>
          <w:rFonts w:ascii="Garamond" w:hAnsi="Garamond"/>
        </w:rPr>
        <w:t xml:space="preserve">cover letter and </w:t>
      </w:r>
      <w:r w:rsidR="00353C96">
        <w:rPr>
          <w:rFonts w:ascii="Garamond" w:hAnsi="Garamond"/>
        </w:rPr>
        <w:t xml:space="preserve">the </w:t>
      </w:r>
      <w:r w:rsidR="00353C96">
        <w:rPr>
          <w:rFonts w:ascii="Garamond" w:hAnsi="Garamond"/>
        </w:rPr>
        <w:t>memo “Summary of SRRTTF-Compiled PCB Data Available for Pattern Analysis”</w:t>
      </w:r>
      <w:r w:rsidR="00353C96">
        <w:rPr>
          <w:rFonts w:ascii="Garamond" w:hAnsi="Garamond"/>
        </w:rPr>
        <w:t xml:space="preserve"> drafted by LimnoTech. </w:t>
      </w:r>
    </w:p>
    <w:p w:rsidR="00117B80" w:rsidRDefault="00A42CA6" w:rsidP="00117B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SRRTTF Comprehensive Plan</w:t>
      </w:r>
      <w:r w:rsidR="00117B80">
        <w:rPr>
          <w:rFonts w:ascii="Garamond" w:hAnsi="Garamond"/>
          <w:b/>
        </w:rPr>
        <w:t>:</w:t>
      </w:r>
      <w:r w:rsidR="00117B80">
        <w:rPr>
          <w:rFonts w:ascii="Garamond" w:hAnsi="Garamond"/>
        </w:rPr>
        <w:t xml:space="preserve"> The Center assisted </w:t>
      </w:r>
      <w:r>
        <w:rPr>
          <w:rFonts w:ascii="Garamond" w:hAnsi="Garamond"/>
        </w:rPr>
        <w:t xml:space="preserve">the Task Force and the Technical Consultant with distributing and posting drafts and comments on the Comprehensive Plan memo. Two memos have been finalized at this time including: </w:t>
      </w:r>
      <w:r w:rsidR="00C33403" w:rsidRPr="00C33403">
        <w:rPr>
          <w:rFonts w:ascii="Garamond" w:hAnsi="Garamond"/>
          <w:i/>
        </w:rPr>
        <w:t>“SRRTTF Sources and Pathways”</w:t>
      </w:r>
      <w:r w:rsidR="00C33403">
        <w:rPr>
          <w:rFonts w:ascii="Garamond" w:hAnsi="Garamond"/>
        </w:rPr>
        <w:t xml:space="preserve"> memo, and the </w:t>
      </w:r>
      <w:r w:rsidR="00C33403" w:rsidRPr="00C33403">
        <w:rPr>
          <w:rFonts w:ascii="Garamond" w:hAnsi="Garamond"/>
          <w:i/>
        </w:rPr>
        <w:t>“SRRTTF Magnitude of Sources and Pathways”</w:t>
      </w:r>
      <w:r w:rsidR="00C33403">
        <w:rPr>
          <w:rFonts w:ascii="Garamond" w:hAnsi="Garamond"/>
        </w:rPr>
        <w:t xml:space="preserve"> memo. The Center worked with the Technical Track Work Group, the Task Force, and the Technical Consultant on the development of the format and the agenda for the July 27</w:t>
      </w:r>
      <w:r w:rsidR="00C33403" w:rsidRPr="00C33403">
        <w:rPr>
          <w:rFonts w:ascii="Garamond" w:hAnsi="Garamond"/>
          <w:vertAlign w:val="superscript"/>
        </w:rPr>
        <w:t>th</w:t>
      </w:r>
      <w:r w:rsidR="00C33403">
        <w:rPr>
          <w:rFonts w:ascii="Garamond" w:hAnsi="Garamond"/>
        </w:rPr>
        <w:t xml:space="preserve"> Comprehensive Plan Workshop.</w:t>
      </w:r>
    </w:p>
    <w:p w:rsidR="00945B7D" w:rsidRDefault="0084264E" w:rsidP="00945B7D">
      <w:pPr>
        <w:numPr>
          <w:ilvl w:val="0"/>
          <w:numId w:val="13"/>
        </w:numPr>
        <w:rPr>
          <w:rFonts w:ascii="Garamond" w:hAnsi="Garamond"/>
        </w:rPr>
      </w:pPr>
      <w:r w:rsidRPr="00117B80">
        <w:rPr>
          <w:rFonts w:ascii="Garamond" w:hAnsi="Garamond"/>
          <w:b/>
        </w:rPr>
        <w:t>Outreach:</w:t>
      </w:r>
      <w:r w:rsidRPr="0084264E">
        <w:rPr>
          <w:rFonts w:ascii="Garamond" w:hAnsi="Garamond"/>
        </w:rPr>
        <w:t xml:space="preserve"> </w:t>
      </w:r>
      <w:r w:rsidR="00A42CA6">
        <w:rPr>
          <w:rFonts w:ascii="Garamond" w:hAnsi="Garamond"/>
        </w:rPr>
        <w:t>The Ruckelshaus Center drafted a Task Force Glossary of Terms and help</w:t>
      </w:r>
      <w:r w:rsidR="00835586">
        <w:rPr>
          <w:rFonts w:ascii="Garamond" w:hAnsi="Garamond"/>
        </w:rPr>
        <w:t>ed</w:t>
      </w:r>
      <w:r w:rsidR="00A42CA6">
        <w:rPr>
          <w:rFonts w:ascii="Garamond" w:hAnsi="Garamond"/>
        </w:rPr>
        <w:t xml:space="preserve"> to </w:t>
      </w:r>
      <w:r w:rsidR="00353C96">
        <w:rPr>
          <w:rFonts w:ascii="Garamond" w:hAnsi="Garamond"/>
        </w:rPr>
        <w:t>finalize the Task Force/PCB Fact S</w:t>
      </w:r>
      <w:r w:rsidR="00A42CA6">
        <w:rPr>
          <w:rFonts w:ascii="Garamond" w:hAnsi="Garamond"/>
        </w:rPr>
        <w:t xml:space="preserve">heet drafted by Sandy Phillips and the Education and Outreach Work Group. </w:t>
      </w:r>
    </w:p>
    <w:p w:rsidR="00353C96" w:rsidRPr="00945B7D" w:rsidRDefault="00353C96" w:rsidP="00945B7D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TSCA:</w:t>
      </w:r>
      <w:r>
        <w:rPr>
          <w:rFonts w:ascii="Garamond" w:hAnsi="Garamond"/>
        </w:rPr>
        <w:t xml:space="preserve"> The Ruckelshaus Center facilitated the process of the Task Force drafting a</w:t>
      </w:r>
      <w:r w:rsidR="00670098">
        <w:rPr>
          <w:rFonts w:ascii="Garamond" w:hAnsi="Garamond"/>
        </w:rPr>
        <w:t xml:space="preserve"> comment letter regarding </w:t>
      </w:r>
      <w:r>
        <w:rPr>
          <w:rFonts w:ascii="Garamond" w:hAnsi="Garamond"/>
        </w:rPr>
        <w:t xml:space="preserve">the HR2576 </w:t>
      </w:r>
      <w:r w:rsidR="00670098">
        <w:rPr>
          <w:rFonts w:ascii="Garamond" w:hAnsi="Garamond"/>
        </w:rPr>
        <w:t xml:space="preserve">Bill (TSCA Reform). </w:t>
      </w:r>
      <w:bookmarkStart w:id="3" w:name="_GoBack"/>
      <w:bookmarkEnd w:id="3"/>
    </w:p>
    <w:p w:rsidR="00085CE1" w:rsidRPr="0084264E" w:rsidRDefault="00085CE1" w:rsidP="0084264E">
      <w:pPr>
        <w:ind w:left="360"/>
        <w:rPr>
          <w:rFonts w:ascii="Garamond" w:hAnsi="Garamond"/>
        </w:rPr>
      </w:pPr>
    </w:p>
    <w:p w:rsidR="00AD50D3" w:rsidRPr="0084264E" w:rsidRDefault="00DD50C6" w:rsidP="0084264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Upcoming </w:t>
      </w:r>
      <w:r w:rsidR="00983D52" w:rsidRPr="0084264E">
        <w:rPr>
          <w:rFonts w:ascii="Garamond" w:hAnsi="Garamond"/>
          <w:b/>
        </w:rPr>
        <w:t>Center work with Task Force members and Work Groups</w:t>
      </w:r>
      <w:r w:rsidR="00AD50D3" w:rsidRPr="0084264E">
        <w:rPr>
          <w:rFonts w:ascii="Garamond" w:hAnsi="Garamond"/>
          <w:b/>
        </w:rPr>
        <w:t>:</w:t>
      </w:r>
    </w:p>
    <w:p w:rsidR="00C42F52" w:rsidRPr="00C42F52" w:rsidRDefault="00C42F52" w:rsidP="00C42F52">
      <w:pPr>
        <w:pStyle w:val="ListParagraph"/>
        <w:widowControl w:val="0"/>
        <w:numPr>
          <w:ilvl w:val="0"/>
          <w:numId w:val="13"/>
        </w:numPr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A819C2">
        <w:rPr>
          <w:rFonts w:ascii="Garamond" w:hAnsi="Garamond"/>
          <w:sz w:val="24"/>
          <w:szCs w:val="24"/>
        </w:rPr>
        <w:t>The Center will facilitate and coordinate meetings of the Task Force and its work groups, as well as to identify opportunities for university research and expertise</w:t>
      </w:r>
      <w:r w:rsidRPr="00A819C2">
        <w:rPr>
          <w:rFonts w:ascii="Garamond" w:hAnsi="Garamond"/>
          <w:spacing w:val="-34"/>
          <w:sz w:val="24"/>
          <w:szCs w:val="24"/>
        </w:rPr>
        <w:t xml:space="preserve"> </w:t>
      </w:r>
      <w:r w:rsidRPr="00A819C2">
        <w:rPr>
          <w:rFonts w:ascii="Garamond" w:hAnsi="Garamond"/>
          <w:sz w:val="24"/>
          <w:szCs w:val="24"/>
        </w:rPr>
        <w:t>to inform outreach and public education and the process of reducing toxins in the</w:t>
      </w:r>
      <w:r w:rsidRPr="00A819C2">
        <w:rPr>
          <w:rFonts w:ascii="Garamond" w:hAnsi="Garamond"/>
          <w:spacing w:val="-34"/>
          <w:sz w:val="24"/>
          <w:szCs w:val="24"/>
        </w:rPr>
        <w:t xml:space="preserve"> </w:t>
      </w:r>
      <w:r w:rsidRPr="00A819C2">
        <w:rPr>
          <w:rFonts w:ascii="Garamond" w:hAnsi="Garamond"/>
          <w:sz w:val="24"/>
          <w:szCs w:val="24"/>
        </w:rPr>
        <w:t>River</w:t>
      </w:r>
      <w:r w:rsidR="00A42CA6">
        <w:rPr>
          <w:rFonts w:ascii="Garamond" w:hAnsi="Garamond"/>
          <w:sz w:val="24"/>
          <w:szCs w:val="24"/>
        </w:rPr>
        <w:t>, at least through June 30, 2017</w:t>
      </w:r>
      <w:r w:rsidRPr="00A819C2">
        <w:rPr>
          <w:rFonts w:ascii="Garamond" w:hAnsi="Garamond"/>
          <w:sz w:val="24"/>
          <w:szCs w:val="24"/>
        </w:rPr>
        <w:t>.</w:t>
      </w:r>
    </w:p>
    <w:p w:rsidR="0058163E" w:rsidRPr="0084264E" w:rsidRDefault="00285244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and </w:t>
      </w:r>
      <w:r w:rsidR="0058163E" w:rsidRPr="0084264E">
        <w:rPr>
          <w:rFonts w:ascii="Garamond" w:hAnsi="Garamond"/>
        </w:rPr>
        <w:t>work groups will conti</w:t>
      </w:r>
      <w:r w:rsidR="00655074" w:rsidRPr="0084264E">
        <w:rPr>
          <w:rFonts w:ascii="Garamond" w:hAnsi="Garamond"/>
        </w:rPr>
        <w:t>nue to meet on a monthly basis</w:t>
      </w:r>
      <w:r w:rsidR="00B44A4D" w:rsidRPr="0084264E">
        <w:rPr>
          <w:rFonts w:ascii="Garamond" w:hAnsi="Garamond"/>
        </w:rPr>
        <w:t>.</w:t>
      </w:r>
    </w:p>
    <w:p w:rsidR="00494B38" w:rsidRDefault="00346C63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will continue to work with the </w:t>
      </w:r>
      <w:r w:rsidR="00AB6174" w:rsidRPr="0084264E">
        <w:rPr>
          <w:rFonts w:ascii="Garamond" w:hAnsi="Garamond"/>
        </w:rPr>
        <w:t>Technical Consultant</w:t>
      </w:r>
      <w:r w:rsidRPr="0084264E">
        <w:rPr>
          <w:rFonts w:ascii="Garamond" w:hAnsi="Garamond"/>
        </w:rPr>
        <w:t xml:space="preserve"> on</w:t>
      </w:r>
      <w:r w:rsidR="00285244" w:rsidRPr="0084264E">
        <w:rPr>
          <w:rFonts w:ascii="Garamond" w:hAnsi="Garamond"/>
        </w:rPr>
        <w:t xml:space="preserve"> completing assigned Tasks</w:t>
      </w:r>
      <w:r w:rsidR="00D507CC" w:rsidRPr="0084264E">
        <w:rPr>
          <w:rFonts w:ascii="Garamond" w:hAnsi="Garamond"/>
        </w:rPr>
        <w:t xml:space="preserve"> as well as on Phase Two of the Technical Consultant’s work</w:t>
      </w:r>
      <w:r w:rsidR="00AB6174" w:rsidRPr="0084264E">
        <w:rPr>
          <w:rFonts w:ascii="Garamond" w:hAnsi="Garamond"/>
        </w:rPr>
        <w:t>.</w:t>
      </w:r>
    </w:p>
    <w:p w:rsidR="00C11F8A" w:rsidRPr="0084264E" w:rsidRDefault="00C11F8A" w:rsidP="0084264E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The Center will facilitate the development of the Task Force’s Comprehensive Plan to bring the Spokane River into compliance with applicable water quality standards.</w:t>
      </w:r>
      <w:r w:rsidR="00945B7D">
        <w:rPr>
          <w:rFonts w:ascii="Garamond" w:hAnsi="Garamond"/>
        </w:rPr>
        <w:t xml:space="preserve"> This will include the facilitation of a </w:t>
      </w:r>
      <w:r w:rsidR="00A42CA6">
        <w:rPr>
          <w:rFonts w:ascii="Garamond" w:hAnsi="Garamond"/>
        </w:rPr>
        <w:t xml:space="preserve">full day </w:t>
      </w:r>
      <w:r w:rsidR="00945B7D">
        <w:rPr>
          <w:rFonts w:ascii="Garamond" w:hAnsi="Garamond"/>
        </w:rPr>
        <w:t xml:space="preserve">comprehensive planning workshop </w:t>
      </w:r>
      <w:r w:rsidR="00A42CA6">
        <w:rPr>
          <w:rFonts w:ascii="Garamond" w:hAnsi="Garamond"/>
        </w:rPr>
        <w:t>on</w:t>
      </w:r>
      <w:r w:rsidR="00945B7D">
        <w:rPr>
          <w:rFonts w:ascii="Garamond" w:hAnsi="Garamond"/>
        </w:rPr>
        <w:t xml:space="preserve"> July</w:t>
      </w:r>
      <w:r w:rsidR="00A42CA6">
        <w:rPr>
          <w:rFonts w:ascii="Garamond" w:hAnsi="Garamond"/>
        </w:rPr>
        <w:t xml:space="preserve"> 27</w:t>
      </w:r>
      <w:r w:rsidR="00A42CA6" w:rsidRPr="00A42CA6">
        <w:rPr>
          <w:rFonts w:ascii="Garamond" w:hAnsi="Garamond"/>
          <w:vertAlign w:val="superscript"/>
        </w:rPr>
        <w:t>th</w:t>
      </w:r>
      <w:r w:rsidR="00A42CA6">
        <w:rPr>
          <w:rFonts w:ascii="Garamond" w:hAnsi="Garamond"/>
        </w:rPr>
        <w:t xml:space="preserve"> at the Spokane County Water Resource Center</w:t>
      </w:r>
      <w:r w:rsidR="00945B7D">
        <w:rPr>
          <w:rFonts w:ascii="Garamond" w:hAnsi="Garamond"/>
        </w:rPr>
        <w:t>.</w:t>
      </w:r>
    </w:p>
    <w:p w:rsidR="00A40361" w:rsidRPr="0084264E" w:rsidRDefault="00A40361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</w:t>
      </w:r>
      <w:r w:rsidR="00792174" w:rsidRPr="0084264E">
        <w:rPr>
          <w:rFonts w:ascii="Garamond" w:hAnsi="Garamond"/>
        </w:rPr>
        <w:t>C</w:t>
      </w:r>
      <w:r w:rsidRPr="0084264E">
        <w:rPr>
          <w:rFonts w:ascii="Garamond" w:hAnsi="Garamond"/>
        </w:rPr>
        <w:t xml:space="preserve">enter will </w:t>
      </w:r>
      <w:r w:rsidR="006C6E07">
        <w:rPr>
          <w:rFonts w:ascii="Garamond" w:hAnsi="Garamond"/>
        </w:rPr>
        <w:t xml:space="preserve">continue to provide support for </w:t>
      </w:r>
      <w:r w:rsidRPr="0084264E">
        <w:rPr>
          <w:rFonts w:ascii="Garamond" w:hAnsi="Garamond"/>
        </w:rPr>
        <w:t xml:space="preserve">Task Force </w:t>
      </w:r>
      <w:r w:rsidR="0084264E">
        <w:rPr>
          <w:rFonts w:ascii="Garamond" w:hAnsi="Garamond"/>
        </w:rPr>
        <w:t>ad-hoc work groups (hydroseed, vactor waste, e</w:t>
      </w:r>
      <w:r w:rsidRPr="0084264E">
        <w:rPr>
          <w:rFonts w:ascii="Garamond" w:hAnsi="Garamond"/>
        </w:rPr>
        <w:t xml:space="preserve">ducation and </w:t>
      </w:r>
      <w:r w:rsidR="0084264E">
        <w:rPr>
          <w:rFonts w:ascii="Garamond" w:hAnsi="Garamond"/>
        </w:rPr>
        <w:t>o</w:t>
      </w:r>
      <w:r w:rsidRPr="0084264E">
        <w:rPr>
          <w:rFonts w:ascii="Garamond" w:hAnsi="Garamond"/>
        </w:rPr>
        <w:t>utreach</w:t>
      </w:r>
      <w:r w:rsidR="0084264E">
        <w:rPr>
          <w:rFonts w:ascii="Garamond" w:hAnsi="Garamond"/>
        </w:rPr>
        <w:t>, database management, fish and hatcheries</w:t>
      </w:r>
      <w:r w:rsidR="00C11F8A">
        <w:rPr>
          <w:rFonts w:ascii="Garamond" w:hAnsi="Garamond"/>
        </w:rPr>
        <w:t>, etc.</w:t>
      </w:r>
      <w:r w:rsidR="00B94E5C">
        <w:rPr>
          <w:rFonts w:ascii="Garamond" w:hAnsi="Garamond"/>
        </w:rPr>
        <w:t>) as needed.</w:t>
      </w:r>
    </w:p>
    <w:p w:rsidR="00494B38" w:rsidRPr="0084264E" w:rsidRDefault="00B94E5C" w:rsidP="0084264E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Center will facilitate the </w:t>
      </w:r>
      <w:r w:rsidR="00DD6220" w:rsidRPr="0084264E">
        <w:rPr>
          <w:rFonts w:ascii="Garamond" w:hAnsi="Garamond"/>
        </w:rPr>
        <w:t>Task Force</w:t>
      </w:r>
      <w:r>
        <w:rPr>
          <w:rFonts w:ascii="Garamond" w:hAnsi="Garamond"/>
        </w:rPr>
        <w:t xml:space="preserve">’s process of </w:t>
      </w:r>
      <w:r w:rsidR="00C11F8A">
        <w:rPr>
          <w:rFonts w:ascii="Garamond" w:hAnsi="Garamond"/>
        </w:rPr>
        <w:t xml:space="preserve">considering the addition of </w:t>
      </w:r>
      <w:r>
        <w:rPr>
          <w:rFonts w:ascii="Garamond" w:hAnsi="Garamond"/>
        </w:rPr>
        <w:t>new members along with</w:t>
      </w:r>
      <w:r w:rsidR="006A71BB" w:rsidRPr="0084264E">
        <w:rPr>
          <w:rFonts w:ascii="Garamond" w:hAnsi="Garamond"/>
        </w:rPr>
        <w:t xml:space="preserve"> agreement on</w:t>
      </w:r>
      <w:r w:rsidR="00C11F8A">
        <w:rPr>
          <w:rFonts w:ascii="Garamond" w:hAnsi="Garamond"/>
        </w:rPr>
        <w:t xml:space="preserve"> any further</w:t>
      </w:r>
      <w:r w:rsidR="006A71BB" w:rsidRPr="0084264E">
        <w:rPr>
          <w:rFonts w:ascii="Garamond" w:hAnsi="Garamond"/>
        </w:rPr>
        <w:t xml:space="preserve"> needed changes to the group’s </w:t>
      </w:r>
      <w:r w:rsidR="0054266D" w:rsidRPr="0084264E">
        <w:rPr>
          <w:rFonts w:ascii="Garamond" w:hAnsi="Garamond"/>
        </w:rPr>
        <w:t>M</w:t>
      </w:r>
      <w:r>
        <w:rPr>
          <w:rFonts w:ascii="Garamond" w:hAnsi="Garamond"/>
        </w:rPr>
        <w:t xml:space="preserve">emorandum of </w:t>
      </w:r>
      <w:r w:rsidR="0054266D" w:rsidRPr="0084264E">
        <w:rPr>
          <w:rFonts w:ascii="Garamond" w:hAnsi="Garamond"/>
        </w:rPr>
        <w:t>A</w:t>
      </w:r>
      <w:r>
        <w:rPr>
          <w:rFonts w:ascii="Garamond" w:hAnsi="Garamond"/>
        </w:rPr>
        <w:t>greement (MOA) if that becomes necessary</w:t>
      </w:r>
      <w:r w:rsidR="006A71BB" w:rsidRPr="0084264E">
        <w:rPr>
          <w:rFonts w:ascii="Garamond" w:hAnsi="Garamond"/>
        </w:rPr>
        <w:t>.</w:t>
      </w:r>
      <w:r w:rsidR="00792174" w:rsidRPr="0084264E">
        <w:rPr>
          <w:rFonts w:ascii="Garamond" w:hAnsi="Garamond"/>
        </w:rPr>
        <w:t xml:space="preserve"> The Center w</w:t>
      </w:r>
      <w:r>
        <w:rPr>
          <w:rFonts w:ascii="Garamond" w:hAnsi="Garamond"/>
        </w:rPr>
        <w:t>ou</w:t>
      </w:r>
      <w:r w:rsidR="00792174" w:rsidRPr="0084264E">
        <w:rPr>
          <w:rFonts w:ascii="Garamond" w:hAnsi="Garamond"/>
        </w:rPr>
        <w:t>l</w:t>
      </w:r>
      <w:r>
        <w:rPr>
          <w:rFonts w:ascii="Garamond" w:hAnsi="Garamond"/>
        </w:rPr>
        <w:t>d</w:t>
      </w:r>
      <w:r w:rsidR="00792174" w:rsidRPr="0084264E">
        <w:rPr>
          <w:rFonts w:ascii="Garamond" w:hAnsi="Garamond"/>
        </w:rPr>
        <w:t xml:space="preserve"> also assist in inviting new parties as identified by the Tas</w:t>
      </w:r>
      <w:r w:rsidR="00AD27F5">
        <w:rPr>
          <w:rFonts w:ascii="Garamond" w:hAnsi="Garamond"/>
        </w:rPr>
        <w:t>k Force after MOA legal review.</w:t>
      </w:r>
    </w:p>
    <w:p w:rsidR="00F758EB" w:rsidRPr="0084264E" w:rsidRDefault="00263157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</w:t>
      </w:r>
      <w:r w:rsidR="00C11F8A">
        <w:rPr>
          <w:rFonts w:ascii="Garamond" w:hAnsi="Garamond"/>
        </w:rPr>
        <w:t xml:space="preserve">Center will continue to assist the </w:t>
      </w:r>
      <w:r w:rsidRPr="0084264E">
        <w:rPr>
          <w:rFonts w:ascii="Garamond" w:hAnsi="Garamond"/>
        </w:rPr>
        <w:t xml:space="preserve">Task Force </w:t>
      </w:r>
      <w:r w:rsidR="00C11F8A">
        <w:rPr>
          <w:rFonts w:ascii="Garamond" w:hAnsi="Garamond"/>
        </w:rPr>
        <w:t>as it documents activities and develops</w:t>
      </w:r>
      <w:r w:rsidRPr="0084264E">
        <w:rPr>
          <w:rFonts w:ascii="Garamond" w:hAnsi="Garamond"/>
        </w:rPr>
        <w:t xml:space="preserve"> and i</w:t>
      </w:r>
      <w:r w:rsidR="00AD27F5">
        <w:rPr>
          <w:rFonts w:ascii="Garamond" w:hAnsi="Garamond"/>
        </w:rPr>
        <w:t>mplements</w:t>
      </w:r>
      <w:r w:rsidR="0081499F" w:rsidRPr="0084264E">
        <w:rPr>
          <w:rFonts w:ascii="Garamond" w:hAnsi="Garamond"/>
        </w:rPr>
        <w:t xml:space="preserve"> a communication strategy.</w:t>
      </w:r>
    </w:p>
    <w:p w:rsidR="002D7F0E" w:rsidRPr="0084264E" w:rsidRDefault="002D7F0E" w:rsidP="0084264E">
      <w:pPr>
        <w:ind w:left="720"/>
        <w:rPr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>The William D. Ruckelshaus Center</w:t>
      </w:r>
      <w:r w:rsidRPr="0084264E">
        <w:rPr>
          <w:rFonts w:ascii="Garamond" w:hAnsi="Garamond"/>
        </w:rPr>
        <w:t xml:space="preserve">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 xml:space="preserve">Email: </w:t>
      </w:r>
      <w:hyperlink r:id="rId8" w:history="1">
        <w:r w:rsidRPr="0084264E">
          <w:rPr>
            <w:rStyle w:val="Hyperlink"/>
            <w:rFonts w:ascii="Garamond" w:hAnsi="Garamond"/>
          </w:rPr>
          <w:t>ruckelshauscenter@wsu.edu</w:t>
        </w:r>
      </w:hyperlink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84264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655074" w:rsidRPr="0084264E" w:rsidRDefault="00655074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  <w:sectPr w:rsidR="002D7F0E" w:rsidRPr="0084264E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E4A7B" w:rsidRDefault="002E4A7B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lastRenderedPageBreak/>
        <w:t xml:space="preserve">Seattle Office: </w:t>
      </w:r>
      <w:r w:rsidRPr="0084264E">
        <w:rPr>
          <w:rFonts w:ascii="Garamond" w:hAnsi="Garamond"/>
          <w:b/>
          <w:bCs/>
        </w:rPr>
        <w:br/>
      </w:r>
      <w:r w:rsidRPr="0084264E">
        <w:rPr>
          <w:rFonts w:ascii="Garamond" w:hAnsi="Garamond"/>
        </w:rPr>
        <w:t>901 - 5th Ave</w:t>
      </w:r>
      <w:r w:rsidR="00556337" w:rsidRPr="0084264E">
        <w:rPr>
          <w:rFonts w:ascii="Garamond" w:hAnsi="Garamond"/>
        </w:rPr>
        <w:t>nue, Suite 2900</w:t>
      </w:r>
      <w:r w:rsidR="00556337" w:rsidRPr="0084264E">
        <w:rPr>
          <w:rFonts w:ascii="Garamond" w:hAnsi="Garamond"/>
        </w:rPr>
        <w:br/>
        <w:t>Seattle, WA 98164</w:t>
      </w:r>
      <w:r w:rsidRPr="0084264E">
        <w:rPr>
          <w:rFonts w:ascii="Garamond" w:hAnsi="Garamond"/>
        </w:rPr>
        <w:t>-2040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(206) 428-3021</w:t>
      </w:r>
      <w:r w:rsidRPr="0084264E">
        <w:rPr>
          <w:rFonts w:ascii="Garamond" w:hAnsi="Garamond"/>
        </w:rPr>
        <w:br/>
        <w:t>Fax: (206) 448-1334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 xml:space="preserve">Pullman Office: </w:t>
      </w:r>
      <w:r w:rsidRPr="0084264E">
        <w:rPr>
          <w:rFonts w:ascii="Garamond" w:hAnsi="Garamond"/>
        </w:rPr>
        <w:br/>
        <w:t xml:space="preserve">P.O. Box 646248 </w:t>
      </w:r>
      <w:r w:rsidRPr="0084264E">
        <w:rPr>
          <w:rFonts w:ascii="Garamond" w:hAnsi="Garamond"/>
        </w:rPr>
        <w:br/>
        <w:t xml:space="preserve">Pullman, WA 99164-6248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(50</w:t>
      </w:r>
      <w:r w:rsidR="00AB6174" w:rsidRPr="0084264E">
        <w:rPr>
          <w:rFonts w:ascii="Garamond" w:hAnsi="Garamond"/>
        </w:rPr>
        <w:t>9) 335-2937</w:t>
      </w:r>
      <w:r w:rsidR="00AB6174" w:rsidRPr="0084264E">
        <w:rPr>
          <w:rFonts w:ascii="Garamond" w:hAnsi="Garamond"/>
        </w:rPr>
        <w:br/>
        <w:t>Fax: (509) 335-2926</w:t>
      </w: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sectPr w:rsidR="002D7F0E" w:rsidRPr="0084264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CC" w:rsidRDefault="00187DCC">
      <w:r>
        <w:separator/>
      </w:r>
    </w:p>
  </w:endnote>
  <w:endnote w:type="continuationSeparator" w:id="0">
    <w:p w:rsidR="00187DCC" w:rsidRDefault="001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CC" w:rsidRDefault="00583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DCC" w:rsidRDefault="0018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CC" w:rsidRDefault="00187DCC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r w:rsidR="00583F71">
      <w:fldChar w:fldCharType="begin"/>
    </w:r>
    <w:r w:rsidR="00C11F8A">
      <w:instrText xml:space="preserve"> PAGE   \* MERGEFORMAT </w:instrText>
    </w:r>
    <w:r w:rsidR="00583F71">
      <w:fldChar w:fldCharType="separate"/>
    </w:r>
    <w:r w:rsidR="001C2854">
      <w:rPr>
        <w:noProof/>
      </w:rPr>
      <w:t>2</w:t>
    </w:r>
    <w:r w:rsidR="00583F7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CC" w:rsidRDefault="00AB248A" w:rsidP="00AB248A">
    <w:pPr>
      <w:pStyle w:val="Footer"/>
      <w:tabs>
        <w:tab w:val="left" w:pos="5310"/>
      </w:tabs>
    </w:pPr>
    <w:r>
      <w:t xml:space="preserve">Ruckelshaus Center SRRTTF </w:t>
    </w:r>
    <w:r w:rsidR="00187DCC">
      <w:t>Quarterly Report</w:t>
    </w:r>
    <w:r w:rsidR="00187DCC">
      <w:ptab w:relativeTo="margin" w:alignment="center" w:leader="none"/>
    </w:r>
    <w:r>
      <w:tab/>
    </w:r>
    <w:r w:rsidR="00187DCC">
      <w:t>Prepared by: Kara Whitman</w:t>
    </w:r>
    <w:r w:rsidR="00187DCC">
      <w:ptab w:relativeTo="margin" w:alignment="right" w:leader="none"/>
    </w:r>
    <w:r w:rsidR="00187DCC">
      <w:t xml:space="preserve">Page | </w:t>
    </w:r>
    <w:r w:rsidR="00583F71">
      <w:fldChar w:fldCharType="begin"/>
    </w:r>
    <w:r w:rsidR="00C11F8A">
      <w:instrText xml:space="preserve"> PAGE   \* MERGEFORMAT </w:instrText>
    </w:r>
    <w:r w:rsidR="00583F71">
      <w:fldChar w:fldCharType="separate"/>
    </w:r>
    <w:r w:rsidR="00835586">
      <w:rPr>
        <w:noProof/>
      </w:rPr>
      <w:t>1</w:t>
    </w:r>
    <w:r w:rsidR="00583F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CC" w:rsidRDefault="00187DCC">
      <w:r>
        <w:separator/>
      </w:r>
    </w:p>
  </w:footnote>
  <w:footnote w:type="continuationSeparator" w:id="0">
    <w:p w:rsidR="00187DCC" w:rsidRDefault="0018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CC" w:rsidRPr="0018407D" w:rsidRDefault="00187DCC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 w15:restartNumberingAfterBreak="0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8788A"/>
    <w:multiLevelType w:val="hybridMultilevel"/>
    <w:tmpl w:val="FBDCD090"/>
    <w:lvl w:ilvl="0" w:tplc="CC381AD0">
      <w:start w:val="1"/>
      <w:numFmt w:val="bullet"/>
      <w:lvlText w:val=""/>
      <w:lvlJc w:val="left"/>
      <w:pPr>
        <w:ind w:left="479" w:hanging="180"/>
      </w:pPr>
      <w:rPr>
        <w:rFonts w:ascii="Symbol" w:eastAsia="Symbol" w:hAnsi="Symbol" w:hint="default"/>
        <w:w w:val="100"/>
      </w:rPr>
    </w:lvl>
    <w:lvl w:ilvl="1" w:tplc="E93C43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53869ED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12A0D8A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B74E28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F7294B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AAA83E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D610D4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496A98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5" w15:restartNumberingAfterBreak="0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23"/>
  </w:num>
  <w:num w:numId="16">
    <w:abstractNumId w:val="22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 w:numId="21">
    <w:abstractNumId w:val="20"/>
  </w:num>
  <w:num w:numId="22">
    <w:abstractNumId w:val="6"/>
  </w:num>
  <w:num w:numId="23">
    <w:abstractNumId w:val="11"/>
  </w:num>
  <w:num w:numId="24">
    <w:abstractNumId w:val="25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4D"/>
    <w:rsid w:val="00002FF3"/>
    <w:rsid w:val="0000558C"/>
    <w:rsid w:val="00014508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35D0"/>
    <w:rsid w:val="000D4F61"/>
    <w:rsid w:val="000E5B5F"/>
    <w:rsid w:val="000F0B75"/>
    <w:rsid w:val="000F1E6D"/>
    <w:rsid w:val="000F5C14"/>
    <w:rsid w:val="000F7CA9"/>
    <w:rsid w:val="00117B80"/>
    <w:rsid w:val="00121138"/>
    <w:rsid w:val="00121B7E"/>
    <w:rsid w:val="00122F05"/>
    <w:rsid w:val="00131E72"/>
    <w:rsid w:val="00132DA6"/>
    <w:rsid w:val="001334FA"/>
    <w:rsid w:val="00135FF6"/>
    <w:rsid w:val="001429B9"/>
    <w:rsid w:val="00144D16"/>
    <w:rsid w:val="00146E77"/>
    <w:rsid w:val="0015207A"/>
    <w:rsid w:val="00154469"/>
    <w:rsid w:val="00156765"/>
    <w:rsid w:val="0016115E"/>
    <w:rsid w:val="00162698"/>
    <w:rsid w:val="00171600"/>
    <w:rsid w:val="00173824"/>
    <w:rsid w:val="001754E6"/>
    <w:rsid w:val="00182F2C"/>
    <w:rsid w:val="0018407D"/>
    <w:rsid w:val="00187DCC"/>
    <w:rsid w:val="0019431D"/>
    <w:rsid w:val="00196C61"/>
    <w:rsid w:val="001A0AC4"/>
    <w:rsid w:val="001B3FB3"/>
    <w:rsid w:val="001B60E9"/>
    <w:rsid w:val="001B617E"/>
    <w:rsid w:val="001C2854"/>
    <w:rsid w:val="001D7A05"/>
    <w:rsid w:val="001E2064"/>
    <w:rsid w:val="001E6CFA"/>
    <w:rsid w:val="001F0D72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918DC"/>
    <w:rsid w:val="002A0216"/>
    <w:rsid w:val="002A28AB"/>
    <w:rsid w:val="002A3C71"/>
    <w:rsid w:val="002A5A50"/>
    <w:rsid w:val="002A6189"/>
    <w:rsid w:val="002B00F8"/>
    <w:rsid w:val="002B31C6"/>
    <w:rsid w:val="002B4E3C"/>
    <w:rsid w:val="002D0FDA"/>
    <w:rsid w:val="002D49A9"/>
    <w:rsid w:val="002D7F0E"/>
    <w:rsid w:val="002E0238"/>
    <w:rsid w:val="002E0FD4"/>
    <w:rsid w:val="002E1B2C"/>
    <w:rsid w:val="002E4A7B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3127"/>
    <w:rsid w:val="00335D34"/>
    <w:rsid w:val="00341371"/>
    <w:rsid w:val="00346C63"/>
    <w:rsid w:val="00353C96"/>
    <w:rsid w:val="0035442A"/>
    <w:rsid w:val="00361DF4"/>
    <w:rsid w:val="00371C77"/>
    <w:rsid w:val="00377BB8"/>
    <w:rsid w:val="003853BD"/>
    <w:rsid w:val="00390FEC"/>
    <w:rsid w:val="003C044F"/>
    <w:rsid w:val="003C4800"/>
    <w:rsid w:val="003C5285"/>
    <w:rsid w:val="003D135C"/>
    <w:rsid w:val="003D1FA8"/>
    <w:rsid w:val="003D3010"/>
    <w:rsid w:val="003D56EC"/>
    <w:rsid w:val="003D6648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9B6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83F71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3FAB"/>
    <w:rsid w:val="006362A1"/>
    <w:rsid w:val="0064396A"/>
    <w:rsid w:val="00652C34"/>
    <w:rsid w:val="00654FE9"/>
    <w:rsid w:val="00655074"/>
    <w:rsid w:val="00655CB3"/>
    <w:rsid w:val="00656103"/>
    <w:rsid w:val="006565D7"/>
    <w:rsid w:val="00663B88"/>
    <w:rsid w:val="0067009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68A4"/>
    <w:rsid w:val="006A71BB"/>
    <w:rsid w:val="006B6ACA"/>
    <w:rsid w:val="006C6E07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381B"/>
    <w:rsid w:val="00774DD0"/>
    <w:rsid w:val="00777A50"/>
    <w:rsid w:val="00780DE2"/>
    <w:rsid w:val="00781603"/>
    <w:rsid w:val="00791E46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13A4"/>
    <w:rsid w:val="00813541"/>
    <w:rsid w:val="0081499F"/>
    <w:rsid w:val="008162F4"/>
    <w:rsid w:val="00835586"/>
    <w:rsid w:val="0084264E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45B7D"/>
    <w:rsid w:val="0096103F"/>
    <w:rsid w:val="00964D02"/>
    <w:rsid w:val="00965AA8"/>
    <w:rsid w:val="009671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264B"/>
    <w:rsid w:val="009D6666"/>
    <w:rsid w:val="009E60C0"/>
    <w:rsid w:val="009E6C72"/>
    <w:rsid w:val="009F1A42"/>
    <w:rsid w:val="009F3246"/>
    <w:rsid w:val="009F54AD"/>
    <w:rsid w:val="00A00B33"/>
    <w:rsid w:val="00A169DB"/>
    <w:rsid w:val="00A22965"/>
    <w:rsid w:val="00A250B4"/>
    <w:rsid w:val="00A27B2E"/>
    <w:rsid w:val="00A40361"/>
    <w:rsid w:val="00A41CE7"/>
    <w:rsid w:val="00A42CA6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A4CA3"/>
    <w:rsid w:val="00AB248A"/>
    <w:rsid w:val="00AB4F98"/>
    <w:rsid w:val="00AB5D3E"/>
    <w:rsid w:val="00AB6174"/>
    <w:rsid w:val="00AD27F5"/>
    <w:rsid w:val="00AD50D3"/>
    <w:rsid w:val="00AE6489"/>
    <w:rsid w:val="00AF2E85"/>
    <w:rsid w:val="00AF4C16"/>
    <w:rsid w:val="00AF4F31"/>
    <w:rsid w:val="00B145B7"/>
    <w:rsid w:val="00B205E1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94E5C"/>
    <w:rsid w:val="00BA041F"/>
    <w:rsid w:val="00BA51F0"/>
    <w:rsid w:val="00BB052C"/>
    <w:rsid w:val="00BB3D4F"/>
    <w:rsid w:val="00BB6C0B"/>
    <w:rsid w:val="00BB70B2"/>
    <w:rsid w:val="00BD11A0"/>
    <w:rsid w:val="00BD3501"/>
    <w:rsid w:val="00BD428E"/>
    <w:rsid w:val="00BD59DE"/>
    <w:rsid w:val="00BE147A"/>
    <w:rsid w:val="00BE181D"/>
    <w:rsid w:val="00BE6369"/>
    <w:rsid w:val="00C01ADC"/>
    <w:rsid w:val="00C03956"/>
    <w:rsid w:val="00C0542E"/>
    <w:rsid w:val="00C11F8A"/>
    <w:rsid w:val="00C16127"/>
    <w:rsid w:val="00C24307"/>
    <w:rsid w:val="00C33403"/>
    <w:rsid w:val="00C36C9D"/>
    <w:rsid w:val="00C422D4"/>
    <w:rsid w:val="00C42F52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A7C26"/>
    <w:rsid w:val="00CB7981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17ECD"/>
    <w:rsid w:val="00D20A20"/>
    <w:rsid w:val="00D218D8"/>
    <w:rsid w:val="00D243AF"/>
    <w:rsid w:val="00D3150F"/>
    <w:rsid w:val="00D41C80"/>
    <w:rsid w:val="00D41EFC"/>
    <w:rsid w:val="00D478EF"/>
    <w:rsid w:val="00D507CC"/>
    <w:rsid w:val="00D555DA"/>
    <w:rsid w:val="00D60493"/>
    <w:rsid w:val="00D61AB5"/>
    <w:rsid w:val="00D64AC7"/>
    <w:rsid w:val="00D6580C"/>
    <w:rsid w:val="00D65A08"/>
    <w:rsid w:val="00D65DDF"/>
    <w:rsid w:val="00D668B3"/>
    <w:rsid w:val="00D70646"/>
    <w:rsid w:val="00D743C6"/>
    <w:rsid w:val="00D748A3"/>
    <w:rsid w:val="00D75A1C"/>
    <w:rsid w:val="00D825BA"/>
    <w:rsid w:val="00D87CDE"/>
    <w:rsid w:val="00D929A1"/>
    <w:rsid w:val="00D92CCD"/>
    <w:rsid w:val="00D96B65"/>
    <w:rsid w:val="00DA1347"/>
    <w:rsid w:val="00DA71E7"/>
    <w:rsid w:val="00DA7B6F"/>
    <w:rsid w:val="00DB3250"/>
    <w:rsid w:val="00DB6444"/>
    <w:rsid w:val="00DB79D4"/>
    <w:rsid w:val="00DC2F01"/>
    <w:rsid w:val="00DD4213"/>
    <w:rsid w:val="00DD50C6"/>
    <w:rsid w:val="00DD6220"/>
    <w:rsid w:val="00DE452C"/>
    <w:rsid w:val="00DF44C9"/>
    <w:rsid w:val="00E00105"/>
    <w:rsid w:val="00E02AA1"/>
    <w:rsid w:val="00E17EE0"/>
    <w:rsid w:val="00E25C7C"/>
    <w:rsid w:val="00E266C9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A101F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434B908"/>
  <w15:docId w15:val="{E1A46E12-686B-423C-9267-87B0ED35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C0D-ED7B-40B3-85DC-D5342C6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817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Kara Whitman</cp:lastModifiedBy>
  <cp:revision>9</cp:revision>
  <cp:lastPrinted>2014-02-07T00:20:00Z</cp:lastPrinted>
  <dcterms:created xsi:type="dcterms:W3CDTF">2016-06-29T16:17:00Z</dcterms:created>
  <dcterms:modified xsi:type="dcterms:W3CDTF">2016-06-29T17:30:00Z</dcterms:modified>
</cp:coreProperties>
</file>