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E5" w:rsidRPr="003A4205" w:rsidRDefault="002650E5" w:rsidP="0084264E">
      <w:pPr>
        <w:rPr>
          <w:rFonts w:ascii="Garamond" w:hAnsi="Garamond"/>
          <w:sz w:val="22"/>
          <w:szCs w:val="22"/>
        </w:rPr>
      </w:pPr>
    </w:p>
    <w:p w:rsidR="00290250" w:rsidRPr="003A4205" w:rsidRDefault="00F820E4" w:rsidP="0084264E">
      <w:pPr>
        <w:pStyle w:val="Heading1"/>
        <w:rPr>
          <w:rFonts w:ascii="Garamond" w:hAnsi="Garamond" w:cs="Calibri"/>
          <w:sz w:val="22"/>
          <w:szCs w:val="22"/>
        </w:rPr>
      </w:pPr>
      <w:r w:rsidRPr="003A4205">
        <w:rPr>
          <w:rFonts w:ascii="Garamond" w:hAnsi="Garamond" w:cs="Calibri"/>
          <w:sz w:val="22"/>
          <w:szCs w:val="22"/>
        </w:rPr>
        <w:t>Spokane River Regional Toxics Task Force</w:t>
      </w:r>
    </w:p>
    <w:p w:rsidR="00F76D9A" w:rsidRPr="003A4205" w:rsidRDefault="00F76D9A" w:rsidP="0084264E">
      <w:p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="00E85F02" w:rsidRPr="003A4205">
        <w:rPr>
          <w:rFonts w:ascii="Garamond" w:hAnsi="Garamond"/>
          <w:sz w:val="22"/>
          <w:szCs w:val="22"/>
        </w:rPr>
        <w:tab/>
        <w:t xml:space="preserve"> </w:t>
      </w:r>
      <w:r w:rsidR="002765C4" w:rsidRPr="003A4205">
        <w:rPr>
          <w:rFonts w:ascii="Garamond" w:hAnsi="Garamond"/>
          <w:sz w:val="22"/>
          <w:szCs w:val="22"/>
        </w:rPr>
        <w:t xml:space="preserve">   </w:t>
      </w:r>
      <w:r w:rsidRPr="003A4205">
        <w:rPr>
          <w:rFonts w:ascii="Garamond" w:hAnsi="Garamond"/>
          <w:sz w:val="22"/>
          <w:szCs w:val="22"/>
        </w:rPr>
        <w:t>Q</w:t>
      </w:r>
      <w:r w:rsidR="005B7A1F" w:rsidRPr="003A4205">
        <w:rPr>
          <w:rFonts w:ascii="Garamond" w:hAnsi="Garamond"/>
          <w:sz w:val="22"/>
          <w:szCs w:val="22"/>
        </w:rPr>
        <w:t>uarterly Report (</w:t>
      </w:r>
      <w:r w:rsidR="00C36B9A">
        <w:rPr>
          <w:rFonts w:ascii="Garamond" w:hAnsi="Garamond"/>
          <w:sz w:val="22"/>
          <w:szCs w:val="22"/>
        </w:rPr>
        <w:t>10</w:t>
      </w:r>
      <w:r w:rsidR="009E6C72" w:rsidRPr="003A4205">
        <w:rPr>
          <w:rFonts w:ascii="Garamond" w:hAnsi="Garamond"/>
          <w:sz w:val="22"/>
          <w:szCs w:val="22"/>
        </w:rPr>
        <w:t>/1/16</w:t>
      </w:r>
      <w:r w:rsidR="00932AB6" w:rsidRPr="003A4205">
        <w:rPr>
          <w:rFonts w:ascii="Garamond" w:hAnsi="Garamond"/>
          <w:sz w:val="22"/>
          <w:szCs w:val="22"/>
        </w:rPr>
        <w:t xml:space="preserve"> – </w:t>
      </w:r>
      <w:r w:rsidR="00C36B9A">
        <w:rPr>
          <w:rFonts w:ascii="Garamond" w:hAnsi="Garamond"/>
          <w:sz w:val="22"/>
          <w:szCs w:val="22"/>
        </w:rPr>
        <w:t>12/31</w:t>
      </w:r>
      <w:r w:rsidR="009E6C72" w:rsidRPr="003A4205">
        <w:rPr>
          <w:rFonts w:ascii="Garamond" w:hAnsi="Garamond"/>
          <w:sz w:val="22"/>
          <w:szCs w:val="22"/>
        </w:rPr>
        <w:t>/16</w:t>
      </w:r>
      <w:r w:rsidR="006F309E" w:rsidRPr="003A4205">
        <w:rPr>
          <w:rFonts w:ascii="Garamond" w:hAnsi="Garamond"/>
          <w:sz w:val="22"/>
          <w:szCs w:val="22"/>
        </w:rPr>
        <w:t>)</w:t>
      </w:r>
    </w:p>
    <w:p w:rsidR="0018407D" w:rsidRPr="003A4205" w:rsidRDefault="0018407D" w:rsidP="0084264E">
      <w:pPr>
        <w:rPr>
          <w:rFonts w:ascii="Garamond" w:hAnsi="Garamond"/>
          <w:sz w:val="22"/>
          <w:szCs w:val="22"/>
        </w:rPr>
      </w:pPr>
    </w:p>
    <w:p w:rsidR="0022317B" w:rsidRPr="003A4205" w:rsidRDefault="0022317B" w:rsidP="0084264E">
      <w:p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>Project Staff:</w:t>
      </w:r>
      <w:r w:rsidR="009323D9" w:rsidRPr="003A4205">
        <w:rPr>
          <w:rFonts w:ascii="Garamond" w:hAnsi="Garamond"/>
          <w:sz w:val="22"/>
          <w:szCs w:val="22"/>
        </w:rPr>
        <w:t xml:space="preserve"> Chris Page</w:t>
      </w:r>
      <w:r w:rsidR="00D41EFC" w:rsidRPr="003A4205">
        <w:rPr>
          <w:rFonts w:ascii="Garamond" w:hAnsi="Garamond"/>
          <w:sz w:val="22"/>
          <w:szCs w:val="22"/>
        </w:rPr>
        <w:t>,</w:t>
      </w:r>
      <w:r w:rsidR="00D70646" w:rsidRPr="003A4205">
        <w:rPr>
          <w:rFonts w:ascii="Garamond" w:hAnsi="Garamond"/>
          <w:sz w:val="22"/>
          <w:szCs w:val="22"/>
        </w:rPr>
        <w:t xml:space="preserve"> Facilitator;</w:t>
      </w:r>
      <w:r w:rsidR="00D41EFC" w:rsidRPr="003A4205">
        <w:rPr>
          <w:rFonts w:ascii="Garamond" w:hAnsi="Garamond"/>
          <w:sz w:val="22"/>
          <w:szCs w:val="22"/>
        </w:rPr>
        <w:t xml:space="preserve"> </w:t>
      </w:r>
      <w:r w:rsidR="00C72017" w:rsidRPr="003A4205">
        <w:rPr>
          <w:rFonts w:ascii="Garamond" w:hAnsi="Garamond"/>
          <w:sz w:val="22"/>
          <w:szCs w:val="22"/>
        </w:rPr>
        <w:t>Kara Whitman</w:t>
      </w:r>
      <w:r w:rsidR="00121B7E" w:rsidRPr="003A4205">
        <w:rPr>
          <w:rFonts w:ascii="Garamond" w:hAnsi="Garamond"/>
          <w:sz w:val="22"/>
          <w:szCs w:val="22"/>
        </w:rPr>
        <w:t>,</w:t>
      </w:r>
      <w:r w:rsidR="00D70646" w:rsidRPr="003A4205">
        <w:rPr>
          <w:rFonts w:ascii="Garamond" w:hAnsi="Garamond"/>
          <w:sz w:val="22"/>
          <w:szCs w:val="22"/>
        </w:rPr>
        <w:t xml:space="preserve"> Project Coordinator;</w:t>
      </w:r>
      <w:r w:rsidR="00121B7E" w:rsidRPr="003A4205">
        <w:rPr>
          <w:rFonts w:ascii="Garamond" w:hAnsi="Garamond"/>
          <w:sz w:val="22"/>
          <w:szCs w:val="22"/>
        </w:rPr>
        <w:t xml:space="preserve"> Michael Kern,</w:t>
      </w:r>
      <w:r w:rsidR="00D70646" w:rsidRPr="003A4205">
        <w:rPr>
          <w:rFonts w:ascii="Garamond" w:hAnsi="Garamond"/>
          <w:sz w:val="22"/>
          <w:szCs w:val="22"/>
        </w:rPr>
        <w:t xml:space="preserve"> Strategic Advisor;</w:t>
      </w:r>
      <w:r w:rsidR="00121B7E" w:rsidRPr="003A4205">
        <w:rPr>
          <w:rFonts w:ascii="Garamond" w:hAnsi="Garamond"/>
          <w:sz w:val="22"/>
          <w:szCs w:val="22"/>
        </w:rPr>
        <w:t xml:space="preserve"> Cheryl Rajcich</w:t>
      </w:r>
      <w:r w:rsidR="00D70646" w:rsidRPr="003A4205">
        <w:rPr>
          <w:rFonts w:ascii="Garamond" w:hAnsi="Garamond"/>
          <w:sz w:val="22"/>
          <w:szCs w:val="22"/>
        </w:rPr>
        <w:t xml:space="preserve">, </w:t>
      </w:r>
      <w:r w:rsidR="00D6580C" w:rsidRPr="003A4205">
        <w:rPr>
          <w:rFonts w:ascii="Garamond" w:hAnsi="Garamond"/>
          <w:sz w:val="22"/>
          <w:szCs w:val="22"/>
        </w:rPr>
        <w:t xml:space="preserve">Operations </w:t>
      </w:r>
      <w:r w:rsidR="00D70646" w:rsidRPr="003A4205">
        <w:rPr>
          <w:rFonts w:ascii="Garamond" w:hAnsi="Garamond"/>
          <w:sz w:val="22"/>
          <w:szCs w:val="22"/>
        </w:rPr>
        <w:t>Manager</w:t>
      </w:r>
      <w:r w:rsidR="00871107" w:rsidRPr="003A4205">
        <w:rPr>
          <w:rFonts w:ascii="Garamond" w:hAnsi="Garamond"/>
          <w:sz w:val="22"/>
          <w:szCs w:val="22"/>
        </w:rPr>
        <w:t xml:space="preserve"> </w:t>
      </w:r>
    </w:p>
    <w:p w:rsidR="00F820E4" w:rsidRPr="003A4205" w:rsidRDefault="00F820E4" w:rsidP="0084264E">
      <w:pPr>
        <w:rPr>
          <w:rFonts w:ascii="Garamond" w:hAnsi="Garamond"/>
          <w:sz w:val="22"/>
          <w:szCs w:val="22"/>
        </w:rPr>
      </w:pPr>
    </w:p>
    <w:p w:rsidR="0018407D" w:rsidRPr="003A4205" w:rsidRDefault="0022317B" w:rsidP="0084264E">
      <w:pPr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Project Purpose: </w:t>
      </w:r>
      <w:r w:rsidR="00D75A1C" w:rsidRPr="003A4205">
        <w:rPr>
          <w:rFonts w:ascii="Garamond" w:hAnsi="Garamond"/>
          <w:sz w:val="22"/>
          <w:szCs w:val="22"/>
        </w:rPr>
        <w:t>The Spokane River Regional Toxics Task Force (SRRTTF) is a</w:t>
      </w:r>
      <w:r w:rsidR="00F820E4" w:rsidRPr="003A4205">
        <w:rPr>
          <w:rFonts w:ascii="Garamond" w:hAnsi="Garamond"/>
          <w:sz w:val="22"/>
          <w:szCs w:val="22"/>
        </w:rPr>
        <w:t xml:space="preserve"> collaborative group of governmental agencies, private industries, environmental organizations</w:t>
      </w:r>
      <w:r w:rsidR="00D507CC" w:rsidRPr="003A4205">
        <w:rPr>
          <w:rFonts w:ascii="Garamond" w:hAnsi="Garamond"/>
          <w:sz w:val="22"/>
          <w:szCs w:val="22"/>
        </w:rPr>
        <w:t>, and interested parties</w:t>
      </w:r>
      <w:r w:rsidR="00F820E4" w:rsidRPr="003A4205">
        <w:rPr>
          <w:rFonts w:ascii="Garamond" w:hAnsi="Garamond"/>
          <w:sz w:val="22"/>
          <w:szCs w:val="22"/>
        </w:rPr>
        <w:t xml:space="preserve"> </w:t>
      </w:r>
      <w:r w:rsidR="00BD3501" w:rsidRPr="003A4205">
        <w:rPr>
          <w:rFonts w:ascii="Garamond" w:hAnsi="Garamond"/>
          <w:sz w:val="22"/>
          <w:szCs w:val="22"/>
        </w:rPr>
        <w:t xml:space="preserve">attempting an innovative approach to the reduction of PCBs within the Spokane River. </w:t>
      </w:r>
    </w:p>
    <w:p w:rsidR="007963C2" w:rsidRPr="003A4205" w:rsidRDefault="00187DCC" w:rsidP="00187DCC">
      <w:pPr>
        <w:tabs>
          <w:tab w:val="left" w:pos="5250"/>
        </w:tabs>
        <w:spacing w:after="120"/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ab/>
      </w:r>
    </w:p>
    <w:p w:rsidR="00E85F02" w:rsidRPr="003A4205" w:rsidRDefault="002B4E3C" w:rsidP="0084264E">
      <w:pPr>
        <w:spacing w:after="120"/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>Q</w:t>
      </w:r>
      <w:r w:rsidR="00AF4F31" w:rsidRPr="003A4205">
        <w:rPr>
          <w:rFonts w:ascii="Garamond" w:hAnsi="Garamond"/>
          <w:b/>
          <w:sz w:val="22"/>
          <w:szCs w:val="22"/>
        </w:rPr>
        <w:t>1</w:t>
      </w:r>
      <w:r w:rsidR="00C36B9A">
        <w:rPr>
          <w:rFonts w:ascii="Garamond" w:hAnsi="Garamond"/>
          <w:b/>
          <w:sz w:val="22"/>
          <w:szCs w:val="22"/>
        </w:rPr>
        <w:t>8</w:t>
      </w:r>
      <w:r w:rsidR="009E60C0" w:rsidRPr="003A4205">
        <w:rPr>
          <w:rFonts w:ascii="Garamond" w:hAnsi="Garamond"/>
          <w:b/>
          <w:sz w:val="22"/>
          <w:szCs w:val="22"/>
        </w:rPr>
        <w:t xml:space="preserve"> </w:t>
      </w:r>
      <w:r w:rsidR="003F4F96" w:rsidRPr="003A4205">
        <w:rPr>
          <w:rFonts w:ascii="Garamond" w:hAnsi="Garamond"/>
          <w:b/>
          <w:sz w:val="22"/>
          <w:szCs w:val="22"/>
        </w:rPr>
        <w:t>Meeting Schedule</w:t>
      </w:r>
      <w:r w:rsidR="00290250" w:rsidRPr="003A4205">
        <w:rPr>
          <w:rFonts w:ascii="Garamond" w:hAnsi="Garamond"/>
          <w:b/>
          <w:sz w:val="22"/>
          <w:szCs w:val="22"/>
        </w:rPr>
        <w:t>:</w:t>
      </w:r>
    </w:p>
    <w:tbl>
      <w:tblPr>
        <w:tblW w:w="9312" w:type="dxa"/>
        <w:jc w:val="center"/>
        <w:tblLayout w:type="fixed"/>
        <w:tblLook w:val="04A0"/>
      </w:tblPr>
      <w:tblGrid>
        <w:gridCol w:w="2267"/>
        <w:gridCol w:w="523"/>
        <w:gridCol w:w="720"/>
        <w:gridCol w:w="816"/>
        <w:gridCol w:w="816"/>
        <w:gridCol w:w="594"/>
        <w:gridCol w:w="796"/>
        <w:gridCol w:w="824"/>
        <w:gridCol w:w="540"/>
        <w:gridCol w:w="721"/>
        <w:gridCol w:w="695"/>
      </w:tblGrid>
      <w:tr w:rsidR="00C36B9A" w:rsidRPr="003A4205" w:rsidTr="00C36B9A">
        <w:trPr>
          <w:trHeight w:val="315"/>
          <w:jc w:val="center"/>
        </w:trPr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B9A" w:rsidRPr="003A4205" w:rsidRDefault="00C36B9A" w:rsidP="0084264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C36B9A" w:rsidRPr="003A4205" w:rsidRDefault="00C36B9A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FFFFFF"/>
                <w:sz w:val="22"/>
                <w:szCs w:val="22"/>
              </w:rPr>
              <w:t>October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9A" w:rsidRPr="003A4205" w:rsidRDefault="00C36B9A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36B9A" w:rsidRPr="003A4205" w:rsidRDefault="00C36B9A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B9A" w:rsidRPr="003A4205" w:rsidRDefault="00C36B9A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:rsidR="00C36B9A" w:rsidRPr="003A4205" w:rsidRDefault="00C36B9A" w:rsidP="0084264E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C36B9A" w:rsidRPr="003A4205" w:rsidTr="00C36B9A">
        <w:trPr>
          <w:trHeight w:val="448"/>
          <w:jc w:val="center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B9A" w:rsidRPr="003A4205" w:rsidRDefault="00C36B9A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Task Force Meetings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C36B9A" w:rsidRPr="003A4205" w:rsidRDefault="00C36B9A" w:rsidP="0090339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C36B9A" w:rsidRPr="003A4205" w:rsidRDefault="00C36B9A" w:rsidP="003A4205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EO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36B9A" w:rsidRPr="003A4205" w:rsidRDefault="00C36B9A" w:rsidP="003A4205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TT/TF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EO</w:t>
            </w:r>
          </w:p>
        </w:tc>
      </w:tr>
      <w:tr w:rsidR="00C36B9A" w:rsidRPr="003A4205" w:rsidTr="00903392">
        <w:trPr>
          <w:trHeight w:val="511"/>
          <w:jc w:val="center"/>
        </w:trPr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9A" w:rsidRPr="003A4205" w:rsidRDefault="00C36B9A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B9A" w:rsidRPr="003A4205" w:rsidRDefault="00C36B9A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26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</w:tcPr>
          <w:p w:rsidR="00C36B9A" w:rsidRPr="003A4205" w:rsidRDefault="00C36B9A" w:rsidP="003A4205">
            <w:pPr>
              <w:spacing w:before="120"/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7</w:t>
            </w:r>
          </w:p>
        </w:tc>
      </w:tr>
      <w:tr w:rsidR="00C36B9A" w:rsidRPr="003A4205" w:rsidTr="00903392">
        <w:trPr>
          <w:trHeight w:val="394"/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C36B9A" w:rsidRPr="003A4205" w:rsidRDefault="00C36B9A" w:rsidP="003A4205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B9A" w:rsidRPr="003A4205" w:rsidRDefault="00C36B9A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36B9A" w:rsidRPr="003A4205" w:rsidTr="00903392">
        <w:trPr>
          <w:trHeight w:val="241"/>
          <w:jc w:val="center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C36B9A" w:rsidRPr="003A4205" w:rsidRDefault="00C36B9A" w:rsidP="003A4205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B9A" w:rsidRPr="003A4205" w:rsidRDefault="00C36B9A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9A" w:rsidRPr="003A4205" w:rsidRDefault="00C36B9A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</w:tbl>
    <w:p w:rsidR="00156765" w:rsidRPr="003A4205" w:rsidRDefault="00E25C7C" w:rsidP="00E25C7C">
      <w:pPr>
        <w:rPr>
          <w:rFonts w:ascii="Garamond" w:hAnsi="Garamond"/>
          <w:i/>
          <w:sz w:val="22"/>
          <w:szCs w:val="22"/>
        </w:rPr>
      </w:pPr>
      <w:r w:rsidRPr="003A4205">
        <w:rPr>
          <w:rFonts w:ascii="Garamond" w:hAnsi="Garamond"/>
          <w:i/>
          <w:sz w:val="22"/>
          <w:szCs w:val="22"/>
        </w:rPr>
        <w:t>TT: Technical Track Work Group</w:t>
      </w:r>
    </w:p>
    <w:p w:rsidR="00E25C7C" w:rsidRDefault="00E25C7C" w:rsidP="00E25C7C">
      <w:pPr>
        <w:rPr>
          <w:rFonts w:ascii="Garamond" w:hAnsi="Garamond"/>
          <w:i/>
          <w:sz w:val="22"/>
          <w:szCs w:val="22"/>
        </w:rPr>
      </w:pPr>
      <w:r w:rsidRPr="003A4205">
        <w:rPr>
          <w:rFonts w:ascii="Garamond" w:hAnsi="Garamond"/>
          <w:i/>
          <w:sz w:val="22"/>
          <w:szCs w:val="22"/>
        </w:rPr>
        <w:t>TF: Task Force</w:t>
      </w:r>
    </w:p>
    <w:p w:rsidR="00C36B9A" w:rsidRPr="003A4205" w:rsidRDefault="00C36B9A" w:rsidP="00E25C7C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EO: Education and Outreach Work Group</w:t>
      </w:r>
    </w:p>
    <w:p w:rsidR="00FE0CB8" w:rsidRPr="003A4205" w:rsidRDefault="00FE0CB8" w:rsidP="0084264E">
      <w:pPr>
        <w:rPr>
          <w:rFonts w:ascii="Garamond" w:hAnsi="Garamond"/>
          <w:b/>
          <w:bCs/>
          <w:sz w:val="22"/>
          <w:szCs w:val="22"/>
        </w:rPr>
      </w:pPr>
      <w:bookmarkStart w:id="0" w:name="RANGE!A11:Z16"/>
      <w:bookmarkStart w:id="1" w:name="RANGE!A11:AD15"/>
      <w:bookmarkEnd w:id="0"/>
      <w:bookmarkEnd w:id="1"/>
    </w:p>
    <w:p w:rsidR="00085CE1" w:rsidRPr="003A4205" w:rsidRDefault="00F820E4" w:rsidP="0084264E">
      <w:pPr>
        <w:tabs>
          <w:tab w:val="left" w:pos="5364"/>
        </w:tabs>
        <w:rPr>
          <w:rFonts w:ascii="Garamond" w:hAnsi="Garamond"/>
          <w:b/>
          <w:sz w:val="22"/>
          <w:szCs w:val="22"/>
        </w:rPr>
      </w:pPr>
      <w:bookmarkStart w:id="2" w:name="OLE_LINK2"/>
      <w:r w:rsidRPr="003A4205">
        <w:rPr>
          <w:rFonts w:ascii="Garamond" w:hAnsi="Garamond"/>
          <w:b/>
          <w:sz w:val="22"/>
          <w:szCs w:val="22"/>
        </w:rPr>
        <w:t>Project highlights</w:t>
      </w:r>
      <w:r w:rsidR="007D7EDE" w:rsidRPr="003A4205">
        <w:rPr>
          <w:rFonts w:ascii="Garamond" w:hAnsi="Garamond"/>
          <w:b/>
          <w:sz w:val="22"/>
          <w:szCs w:val="22"/>
        </w:rPr>
        <w:t>:</w:t>
      </w:r>
      <w:r w:rsidR="009A4226" w:rsidRPr="003A4205">
        <w:rPr>
          <w:rFonts w:ascii="Garamond" w:hAnsi="Garamond"/>
          <w:b/>
          <w:sz w:val="22"/>
          <w:szCs w:val="22"/>
        </w:rPr>
        <w:tab/>
      </w:r>
    </w:p>
    <w:bookmarkEnd w:id="2"/>
    <w:p w:rsidR="00495B4F" w:rsidRPr="003A4205" w:rsidRDefault="00D70646" w:rsidP="0084264E">
      <w:pPr>
        <w:numPr>
          <w:ilvl w:val="0"/>
          <w:numId w:val="13"/>
        </w:numPr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Meetings: </w:t>
      </w:r>
      <w:r w:rsidR="00CA7C26" w:rsidRPr="003A4205">
        <w:rPr>
          <w:rFonts w:ascii="Garamond" w:hAnsi="Garamond"/>
          <w:sz w:val="22"/>
          <w:szCs w:val="22"/>
        </w:rPr>
        <w:t>F</w:t>
      </w:r>
      <w:r w:rsidR="00500115" w:rsidRPr="003A4205">
        <w:rPr>
          <w:rFonts w:ascii="Garamond" w:hAnsi="Garamond"/>
          <w:sz w:val="22"/>
          <w:szCs w:val="22"/>
        </w:rPr>
        <w:t>acilitator Chris Page</w:t>
      </w:r>
      <w:r w:rsidR="00255BC5" w:rsidRPr="003A4205">
        <w:rPr>
          <w:rFonts w:ascii="Garamond" w:hAnsi="Garamond"/>
          <w:sz w:val="22"/>
          <w:szCs w:val="22"/>
        </w:rPr>
        <w:t xml:space="preserve"> </w:t>
      </w:r>
      <w:r w:rsidR="006A71BB" w:rsidRPr="003A4205">
        <w:rPr>
          <w:rFonts w:ascii="Garamond" w:hAnsi="Garamond"/>
          <w:sz w:val="22"/>
          <w:szCs w:val="22"/>
        </w:rPr>
        <w:t>develop</w:t>
      </w:r>
      <w:r w:rsidR="00983D52" w:rsidRPr="003A4205">
        <w:rPr>
          <w:rFonts w:ascii="Garamond" w:hAnsi="Garamond"/>
          <w:sz w:val="22"/>
          <w:szCs w:val="22"/>
        </w:rPr>
        <w:t xml:space="preserve">ed meeting agendas </w:t>
      </w:r>
      <w:r w:rsidR="00656103" w:rsidRPr="003A4205">
        <w:rPr>
          <w:rFonts w:ascii="Garamond" w:hAnsi="Garamond"/>
          <w:sz w:val="22"/>
          <w:szCs w:val="22"/>
        </w:rPr>
        <w:t>for</w:t>
      </w:r>
      <w:r w:rsidR="00132DA6" w:rsidRPr="003A4205">
        <w:rPr>
          <w:rFonts w:ascii="Garamond" w:hAnsi="Garamond"/>
          <w:sz w:val="22"/>
          <w:szCs w:val="22"/>
        </w:rPr>
        <w:t xml:space="preserve"> </w:t>
      </w:r>
      <w:r w:rsidR="00CC23F5">
        <w:rPr>
          <w:rFonts w:ascii="Garamond" w:hAnsi="Garamond"/>
          <w:sz w:val="22"/>
          <w:szCs w:val="22"/>
        </w:rPr>
        <w:t>five</w:t>
      </w:r>
      <w:r w:rsidR="00AD27F5" w:rsidRPr="003A4205">
        <w:rPr>
          <w:rFonts w:ascii="Garamond" w:hAnsi="Garamond"/>
          <w:sz w:val="22"/>
          <w:szCs w:val="22"/>
        </w:rPr>
        <w:t xml:space="preserve"> </w:t>
      </w:r>
      <w:r w:rsidR="00500115" w:rsidRPr="003A4205">
        <w:rPr>
          <w:rFonts w:ascii="Garamond" w:hAnsi="Garamond"/>
          <w:sz w:val="22"/>
          <w:szCs w:val="22"/>
        </w:rPr>
        <w:t>meetings</w:t>
      </w:r>
      <w:r w:rsidR="00AD27F5" w:rsidRPr="003A4205">
        <w:rPr>
          <w:rFonts w:ascii="Garamond" w:hAnsi="Garamond"/>
          <w:sz w:val="22"/>
          <w:szCs w:val="22"/>
        </w:rPr>
        <w:t xml:space="preserve"> </w:t>
      </w:r>
      <w:r w:rsidR="004A02F1" w:rsidRPr="003A4205">
        <w:rPr>
          <w:rFonts w:ascii="Garamond" w:hAnsi="Garamond"/>
          <w:sz w:val="22"/>
          <w:szCs w:val="22"/>
        </w:rPr>
        <w:t xml:space="preserve">including </w:t>
      </w:r>
      <w:r w:rsidR="00CC23F5">
        <w:rPr>
          <w:rFonts w:ascii="Garamond" w:hAnsi="Garamond"/>
          <w:sz w:val="22"/>
          <w:szCs w:val="22"/>
        </w:rPr>
        <w:t>two</w:t>
      </w:r>
      <w:r w:rsidR="00AA4CA3" w:rsidRPr="003A4205">
        <w:rPr>
          <w:rFonts w:ascii="Garamond" w:hAnsi="Garamond"/>
          <w:sz w:val="22"/>
          <w:szCs w:val="22"/>
        </w:rPr>
        <w:t xml:space="preserve"> </w:t>
      </w:r>
      <w:r w:rsidR="00743196" w:rsidRPr="003A4205">
        <w:rPr>
          <w:rFonts w:ascii="Garamond" w:hAnsi="Garamond"/>
          <w:sz w:val="22"/>
          <w:szCs w:val="22"/>
        </w:rPr>
        <w:t xml:space="preserve">Task </w:t>
      </w:r>
      <w:r w:rsidR="00F76D9A" w:rsidRPr="003A4205">
        <w:rPr>
          <w:rFonts w:ascii="Garamond" w:hAnsi="Garamond"/>
          <w:sz w:val="22"/>
          <w:szCs w:val="22"/>
        </w:rPr>
        <w:t>Force</w:t>
      </w:r>
      <w:r w:rsidR="00CC23F5">
        <w:rPr>
          <w:rFonts w:ascii="Garamond" w:hAnsi="Garamond"/>
          <w:sz w:val="22"/>
          <w:szCs w:val="22"/>
        </w:rPr>
        <w:t xml:space="preserve"> (TF)</w:t>
      </w:r>
      <w:r w:rsidR="00F76D9A" w:rsidRPr="003A4205">
        <w:rPr>
          <w:rFonts w:ascii="Garamond" w:hAnsi="Garamond"/>
          <w:sz w:val="22"/>
          <w:szCs w:val="22"/>
        </w:rPr>
        <w:t xml:space="preserve"> meetings</w:t>
      </w:r>
      <w:r w:rsidR="003948BA">
        <w:rPr>
          <w:rFonts w:ascii="Garamond" w:hAnsi="Garamond"/>
          <w:sz w:val="22"/>
          <w:szCs w:val="22"/>
        </w:rPr>
        <w:t xml:space="preserve"> and </w:t>
      </w:r>
      <w:r w:rsidR="00CC23F5">
        <w:rPr>
          <w:rFonts w:ascii="Garamond" w:hAnsi="Garamond"/>
          <w:sz w:val="22"/>
          <w:szCs w:val="22"/>
        </w:rPr>
        <w:t xml:space="preserve">two </w:t>
      </w:r>
      <w:r w:rsidR="004A02F1" w:rsidRPr="003A4205">
        <w:rPr>
          <w:rFonts w:ascii="Garamond" w:hAnsi="Garamond"/>
          <w:sz w:val="22"/>
          <w:szCs w:val="22"/>
        </w:rPr>
        <w:t>T</w:t>
      </w:r>
      <w:r w:rsidR="005B7A1F" w:rsidRPr="003A4205">
        <w:rPr>
          <w:rFonts w:ascii="Garamond" w:hAnsi="Garamond"/>
          <w:sz w:val="22"/>
          <w:szCs w:val="22"/>
        </w:rPr>
        <w:t>echnical Track Work Group</w:t>
      </w:r>
      <w:r w:rsidR="00871107" w:rsidRPr="003A4205">
        <w:rPr>
          <w:rFonts w:ascii="Garamond" w:hAnsi="Garamond"/>
          <w:sz w:val="22"/>
          <w:szCs w:val="22"/>
        </w:rPr>
        <w:t xml:space="preserve"> </w:t>
      </w:r>
      <w:r w:rsidR="00656103" w:rsidRPr="003A4205">
        <w:rPr>
          <w:rFonts w:ascii="Garamond" w:hAnsi="Garamond"/>
          <w:sz w:val="22"/>
          <w:szCs w:val="22"/>
        </w:rPr>
        <w:t xml:space="preserve">(TTWG) </w:t>
      </w:r>
      <w:r w:rsidR="00871107" w:rsidRPr="003A4205">
        <w:rPr>
          <w:rFonts w:ascii="Garamond" w:hAnsi="Garamond"/>
          <w:sz w:val="22"/>
          <w:szCs w:val="22"/>
        </w:rPr>
        <w:t>meetings</w:t>
      </w:r>
      <w:r w:rsidR="00CC23F5">
        <w:rPr>
          <w:rFonts w:ascii="Garamond" w:hAnsi="Garamond"/>
          <w:sz w:val="22"/>
          <w:szCs w:val="22"/>
        </w:rPr>
        <w:t>, and one combined TTWG and TF meeting</w:t>
      </w:r>
      <w:r w:rsidR="00132DA6" w:rsidRPr="003A4205">
        <w:rPr>
          <w:rFonts w:ascii="Garamond" w:hAnsi="Garamond"/>
          <w:sz w:val="22"/>
          <w:szCs w:val="22"/>
        </w:rPr>
        <w:t xml:space="preserve">. </w:t>
      </w:r>
      <w:r w:rsidR="00656103" w:rsidRPr="003A4205">
        <w:rPr>
          <w:rFonts w:ascii="Garamond" w:hAnsi="Garamond"/>
          <w:sz w:val="22"/>
          <w:szCs w:val="22"/>
        </w:rPr>
        <w:t>Chris</w:t>
      </w:r>
      <w:r w:rsidR="00D40935" w:rsidRPr="003A4205">
        <w:rPr>
          <w:rFonts w:ascii="Garamond" w:hAnsi="Garamond"/>
          <w:sz w:val="22"/>
          <w:szCs w:val="22"/>
        </w:rPr>
        <w:t xml:space="preserve"> </w:t>
      </w:r>
      <w:r w:rsidR="00656103" w:rsidRPr="003A4205">
        <w:rPr>
          <w:rFonts w:ascii="Garamond" w:hAnsi="Garamond"/>
          <w:sz w:val="22"/>
          <w:szCs w:val="22"/>
        </w:rPr>
        <w:t>facilitated</w:t>
      </w:r>
      <w:r w:rsidR="00781603" w:rsidRPr="003A4205">
        <w:rPr>
          <w:rFonts w:ascii="Garamond" w:hAnsi="Garamond"/>
          <w:sz w:val="22"/>
          <w:szCs w:val="22"/>
        </w:rPr>
        <w:t xml:space="preserve"> </w:t>
      </w:r>
      <w:r w:rsidR="00CC23F5">
        <w:rPr>
          <w:rFonts w:ascii="Garamond" w:hAnsi="Garamond"/>
          <w:sz w:val="22"/>
          <w:szCs w:val="22"/>
        </w:rPr>
        <w:t xml:space="preserve">the five meetings. Kara Whitman </w:t>
      </w:r>
      <w:r w:rsidR="000B5123">
        <w:rPr>
          <w:rFonts w:ascii="Garamond" w:hAnsi="Garamond"/>
          <w:sz w:val="22"/>
          <w:szCs w:val="22"/>
        </w:rPr>
        <w:t>developed the agendas for and facilitated two meetings of the Education and Outreach Work Group (EO)</w:t>
      </w:r>
      <w:r w:rsidR="00CF7550" w:rsidRPr="003A4205">
        <w:rPr>
          <w:rFonts w:ascii="Garamond" w:hAnsi="Garamond"/>
          <w:sz w:val="22"/>
          <w:szCs w:val="22"/>
        </w:rPr>
        <w:t xml:space="preserve">. </w:t>
      </w:r>
      <w:r w:rsidR="00CA7C26" w:rsidRPr="003A4205">
        <w:rPr>
          <w:rFonts w:ascii="Garamond" w:hAnsi="Garamond"/>
          <w:sz w:val="22"/>
          <w:szCs w:val="22"/>
        </w:rPr>
        <w:t>Kara Whitman drafted and distributed announcements</w:t>
      </w:r>
      <w:r w:rsidR="00983D52" w:rsidRPr="003A4205">
        <w:rPr>
          <w:rFonts w:ascii="Garamond" w:hAnsi="Garamond"/>
          <w:sz w:val="22"/>
          <w:szCs w:val="22"/>
        </w:rPr>
        <w:t xml:space="preserve">, </w:t>
      </w:r>
      <w:r w:rsidR="00F76D9A" w:rsidRPr="003A4205">
        <w:rPr>
          <w:rFonts w:ascii="Garamond" w:hAnsi="Garamond"/>
          <w:sz w:val="22"/>
          <w:szCs w:val="22"/>
        </w:rPr>
        <w:t>materials</w:t>
      </w:r>
      <w:r w:rsidR="003F4F96" w:rsidRPr="003A4205">
        <w:rPr>
          <w:rFonts w:ascii="Garamond" w:hAnsi="Garamond"/>
          <w:sz w:val="22"/>
          <w:szCs w:val="22"/>
        </w:rPr>
        <w:t>, and summaries</w:t>
      </w:r>
      <w:r w:rsidR="00D02635" w:rsidRPr="003A4205">
        <w:rPr>
          <w:rFonts w:ascii="Garamond" w:hAnsi="Garamond"/>
          <w:sz w:val="22"/>
          <w:szCs w:val="22"/>
        </w:rPr>
        <w:t xml:space="preserve"> </w:t>
      </w:r>
      <w:r w:rsidR="000B5123">
        <w:rPr>
          <w:rFonts w:ascii="Garamond" w:hAnsi="Garamond"/>
          <w:sz w:val="22"/>
          <w:szCs w:val="22"/>
        </w:rPr>
        <w:t xml:space="preserve">for </w:t>
      </w:r>
      <w:r w:rsidR="00D41EFC" w:rsidRPr="003A4205">
        <w:rPr>
          <w:rFonts w:ascii="Garamond" w:hAnsi="Garamond"/>
          <w:sz w:val="22"/>
          <w:szCs w:val="22"/>
        </w:rPr>
        <w:t>each meeting</w:t>
      </w:r>
      <w:r w:rsidR="000B5123">
        <w:rPr>
          <w:rFonts w:ascii="Garamond" w:hAnsi="Garamond"/>
          <w:sz w:val="22"/>
          <w:szCs w:val="22"/>
        </w:rPr>
        <w:t xml:space="preserve"> and for general Task Force communications</w:t>
      </w:r>
      <w:r w:rsidR="00C33403" w:rsidRPr="003A4205">
        <w:rPr>
          <w:rFonts w:ascii="Garamond" w:hAnsi="Garamond"/>
          <w:sz w:val="22"/>
          <w:szCs w:val="22"/>
        </w:rPr>
        <w:t xml:space="preserve">. Kara also helped manage communications at the meetings including conference phones, presentations, and the use of webinars. </w:t>
      </w:r>
    </w:p>
    <w:p w:rsidR="00C01ADC" w:rsidRPr="003A4205" w:rsidRDefault="00D70646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Website Management: </w:t>
      </w:r>
      <w:r w:rsidR="001F5924" w:rsidRPr="003A4205">
        <w:rPr>
          <w:rFonts w:ascii="Garamond" w:hAnsi="Garamond"/>
          <w:sz w:val="22"/>
          <w:szCs w:val="22"/>
        </w:rPr>
        <w:t xml:space="preserve">Kara </w:t>
      </w:r>
      <w:r w:rsidR="00983D52" w:rsidRPr="003A4205">
        <w:rPr>
          <w:rFonts w:ascii="Garamond" w:hAnsi="Garamond"/>
          <w:sz w:val="22"/>
          <w:szCs w:val="22"/>
        </w:rPr>
        <w:t xml:space="preserve">managed and updated the </w:t>
      </w:r>
      <w:r w:rsidR="00BB3D4F" w:rsidRPr="003A4205">
        <w:rPr>
          <w:rFonts w:ascii="Garamond" w:hAnsi="Garamond"/>
          <w:sz w:val="22"/>
          <w:szCs w:val="22"/>
        </w:rPr>
        <w:t>web page on behalf of the Task F</w:t>
      </w:r>
      <w:r w:rsidRPr="003A4205">
        <w:rPr>
          <w:rFonts w:ascii="Garamond" w:hAnsi="Garamond"/>
          <w:sz w:val="22"/>
          <w:szCs w:val="22"/>
        </w:rPr>
        <w:t>orce f</w:t>
      </w:r>
      <w:r w:rsidR="00D02635" w:rsidRPr="003A4205">
        <w:rPr>
          <w:rFonts w:ascii="Garamond" w:hAnsi="Garamond"/>
          <w:sz w:val="22"/>
          <w:szCs w:val="22"/>
        </w:rPr>
        <w:t xml:space="preserve">or </w:t>
      </w:r>
      <w:r w:rsidR="00633FAB" w:rsidRPr="003A4205">
        <w:rPr>
          <w:rFonts w:ascii="Garamond" w:hAnsi="Garamond"/>
          <w:sz w:val="22"/>
          <w:szCs w:val="22"/>
        </w:rPr>
        <w:t xml:space="preserve">all </w:t>
      </w:r>
      <w:r w:rsidR="00983D52" w:rsidRPr="003A4205">
        <w:rPr>
          <w:rFonts w:ascii="Garamond" w:hAnsi="Garamond"/>
          <w:sz w:val="22"/>
          <w:szCs w:val="22"/>
        </w:rPr>
        <w:t>meeting</w:t>
      </w:r>
      <w:r w:rsidR="00BB3D4F" w:rsidRPr="003A4205">
        <w:rPr>
          <w:rFonts w:ascii="Garamond" w:hAnsi="Garamond"/>
          <w:sz w:val="22"/>
          <w:szCs w:val="22"/>
        </w:rPr>
        <w:t>s facilitated by the Ruckelshaus Center</w:t>
      </w:r>
      <w:r w:rsidRPr="003A4205">
        <w:rPr>
          <w:rFonts w:ascii="Garamond" w:hAnsi="Garamond"/>
          <w:sz w:val="22"/>
          <w:szCs w:val="22"/>
        </w:rPr>
        <w:t>.</w:t>
      </w:r>
      <w:r w:rsidR="00BB3D4F" w:rsidRPr="003A4205">
        <w:rPr>
          <w:rFonts w:ascii="Garamond" w:hAnsi="Garamond"/>
          <w:sz w:val="22"/>
          <w:szCs w:val="22"/>
        </w:rPr>
        <w:t xml:space="preserve"> </w:t>
      </w:r>
      <w:r w:rsidRPr="003A4205">
        <w:rPr>
          <w:rFonts w:ascii="Garamond" w:hAnsi="Garamond"/>
          <w:sz w:val="22"/>
          <w:szCs w:val="22"/>
        </w:rPr>
        <w:t>T</w:t>
      </w:r>
      <w:r w:rsidR="00BB3D4F" w:rsidRPr="003A4205">
        <w:rPr>
          <w:rFonts w:ascii="Garamond" w:hAnsi="Garamond"/>
          <w:sz w:val="22"/>
          <w:szCs w:val="22"/>
        </w:rPr>
        <w:t>his included posting meeting announcements,</w:t>
      </w:r>
      <w:r w:rsidR="00983D52" w:rsidRPr="003A4205">
        <w:rPr>
          <w:rFonts w:ascii="Garamond" w:hAnsi="Garamond"/>
          <w:sz w:val="22"/>
          <w:szCs w:val="22"/>
        </w:rPr>
        <w:t xml:space="preserve"> materials</w:t>
      </w:r>
      <w:r w:rsidR="00E85F02" w:rsidRPr="003A4205">
        <w:rPr>
          <w:rFonts w:ascii="Garamond" w:hAnsi="Garamond"/>
          <w:sz w:val="22"/>
          <w:szCs w:val="22"/>
        </w:rPr>
        <w:t xml:space="preserve"> and supporting documents</w:t>
      </w:r>
      <w:r w:rsidR="00BB3D4F" w:rsidRPr="003A4205">
        <w:rPr>
          <w:rFonts w:ascii="Garamond" w:hAnsi="Garamond"/>
          <w:sz w:val="22"/>
          <w:szCs w:val="22"/>
        </w:rPr>
        <w:t>, and meeting summaries</w:t>
      </w:r>
      <w:r w:rsidR="00663B88" w:rsidRPr="003A4205">
        <w:rPr>
          <w:rFonts w:ascii="Garamond" w:hAnsi="Garamond"/>
          <w:sz w:val="22"/>
          <w:szCs w:val="22"/>
        </w:rPr>
        <w:t>.</w:t>
      </w:r>
      <w:r w:rsidR="00132DA6" w:rsidRPr="003A4205">
        <w:rPr>
          <w:rFonts w:ascii="Garamond" w:hAnsi="Garamond"/>
          <w:sz w:val="22"/>
          <w:szCs w:val="22"/>
        </w:rPr>
        <w:t xml:space="preserve"> Kara </w:t>
      </w:r>
      <w:r w:rsidR="00D40935" w:rsidRPr="003A4205">
        <w:rPr>
          <w:rFonts w:ascii="Garamond" w:hAnsi="Garamond"/>
          <w:sz w:val="22"/>
          <w:szCs w:val="22"/>
        </w:rPr>
        <w:t xml:space="preserve">regularly updated the </w:t>
      </w:r>
      <w:r w:rsidR="00A42CA6" w:rsidRPr="003A4205">
        <w:rPr>
          <w:rFonts w:ascii="Garamond" w:hAnsi="Garamond"/>
          <w:sz w:val="22"/>
          <w:szCs w:val="22"/>
        </w:rPr>
        <w:t>Comprehens</w:t>
      </w:r>
      <w:r w:rsidR="00D40935" w:rsidRPr="003A4205">
        <w:rPr>
          <w:rFonts w:ascii="Garamond" w:hAnsi="Garamond"/>
          <w:sz w:val="22"/>
          <w:szCs w:val="22"/>
        </w:rPr>
        <w:t xml:space="preserve">ive Plan page on the website that </w:t>
      </w:r>
      <w:r w:rsidR="00A42CA6" w:rsidRPr="003A4205">
        <w:rPr>
          <w:rFonts w:ascii="Garamond" w:hAnsi="Garamond"/>
          <w:sz w:val="22"/>
          <w:szCs w:val="22"/>
        </w:rPr>
        <w:t>house</w:t>
      </w:r>
      <w:r w:rsidR="00D40935" w:rsidRPr="003A4205">
        <w:rPr>
          <w:rFonts w:ascii="Garamond" w:hAnsi="Garamond"/>
          <w:sz w:val="22"/>
          <w:szCs w:val="22"/>
        </w:rPr>
        <w:t>s</w:t>
      </w:r>
      <w:r w:rsidR="00A42CA6" w:rsidRPr="003A4205">
        <w:rPr>
          <w:rFonts w:ascii="Garamond" w:hAnsi="Garamond"/>
          <w:sz w:val="22"/>
          <w:szCs w:val="22"/>
        </w:rPr>
        <w:t xml:space="preserve"> all information related to the development of the Comprehensive Plan, including: scope and timeline, draft and final versions of memos, comments and revisions on memos,</w:t>
      </w:r>
      <w:r w:rsidR="00835586" w:rsidRPr="003A4205">
        <w:rPr>
          <w:rFonts w:ascii="Garamond" w:hAnsi="Garamond"/>
          <w:sz w:val="22"/>
          <w:szCs w:val="22"/>
        </w:rPr>
        <w:t xml:space="preserve"> and </w:t>
      </w:r>
      <w:r w:rsidR="00A42CA6" w:rsidRPr="003A4205">
        <w:rPr>
          <w:rFonts w:ascii="Garamond" w:hAnsi="Garamond"/>
          <w:sz w:val="22"/>
          <w:szCs w:val="22"/>
        </w:rPr>
        <w:t xml:space="preserve">more. </w:t>
      </w:r>
    </w:p>
    <w:p w:rsidR="00AB6174" w:rsidRPr="003A4205" w:rsidRDefault="00C01ADC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Technical Advisor: </w:t>
      </w:r>
      <w:r w:rsidRPr="003A4205">
        <w:rPr>
          <w:rFonts w:ascii="Garamond" w:hAnsi="Garamond"/>
          <w:sz w:val="22"/>
          <w:szCs w:val="22"/>
        </w:rPr>
        <w:t xml:space="preserve">The Task Force worked with the Technical Advisor </w:t>
      </w:r>
      <w:r w:rsidR="00D507CC" w:rsidRPr="003A4205">
        <w:rPr>
          <w:rFonts w:ascii="Garamond" w:hAnsi="Garamond"/>
          <w:sz w:val="22"/>
          <w:szCs w:val="22"/>
        </w:rPr>
        <w:t>(</w:t>
      </w:r>
      <w:r w:rsidRPr="003A4205">
        <w:rPr>
          <w:rFonts w:ascii="Garamond" w:hAnsi="Garamond"/>
          <w:sz w:val="22"/>
          <w:szCs w:val="22"/>
        </w:rPr>
        <w:t>Limno</w:t>
      </w:r>
      <w:r w:rsidR="00285244" w:rsidRPr="003A4205">
        <w:rPr>
          <w:rFonts w:ascii="Garamond" w:hAnsi="Garamond"/>
          <w:sz w:val="22"/>
          <w:szCs w:val="22"/>
        </w:rPr>
        <w:t>Tech</w:t>
      </w:r>
      <w:r w:rsidR="00D507CC" w:rsidRPr="003A4205">
        <w:rPr>
          <w:rFonts w:ascii="Garamond" w:hAnsi="Garamond"/>
          <w:sz w:val="22"/>
          <w:szCs w:val="22"/>
        </w:rPr>
        <w:t>)</w:t>
      </w:r>
      <w:r w:rsidR="00285244" w:rsidRPr="003A4205">
        <w:rPr>
          <w:rFonts w:ascii="Garamond" w:hAnsi="Garamond"/>
          <w:sz w:val="22"/>
          <w:szCs w:val="22"/>
        </w:rPr>
        <w:t xml:space="preserve"> </w:t>
      </w:r>
      <w:r w:rsidR="00791E46" w:rsidRPr="003A4205">
        <w:rPr>
          <w:rFonts w:ascii="Garamond" w:hAnsi="Garamond"/>
          <w:sz w:val="22"/>
          <w:szCs w:val="22"/>
        </w:rPr>
        <w:t xml:space="preserve">and other technical staff (Department of Ecology Environmental Assessment Program staff, representatives from Task Force entities, and TTWG Chair Bud Leber) </w:t>
      </w:r>
      <w:r w:rsidR="00285244" w:rsidRPr="003A4205">
        <w:rPr>
          <w:rFonts w:ascii="Garamond" w:hAnsi="Garamond"/>
          <w:sz w:val="22"/>
          <w:szCs w:val="22"/>
        </w:rPr>
        <w:t xml:space="preserve">to </w:t>
      </w:r>
      <w:r w:rsidR="00663B88" w:rsidRPr="003A4205">
        <w:rPr>
          <w:rFonts w:ascii="Garamond" w:hAnsi="Garamond"/>
          <w:sz w:val="22"/>
          <w:szCs w:val="22"/>
        </w:rPr>
        <w:t>assist in Task Force understanding of technical issues</w:t>
      </w:r>
      <w:r w:rsidR="00AD27F5" w:rsidRPr="003A4205">
        <w:rPr>
          <w:rFonts w:ascii="Garamond" w:hAnsi="Garamond"/>
          <w:sz w:val="22"/>
          <w:szCs w:val="22"/>
        </w:rPr>
        <w:t>,</w:t>
      </w:r>
      <w:r w:rsidR="00663B88" w:rsidRPr="003A4205">
        <w:rPr>
          <w:rFonts w:ascii="Garamond" w:hAnsi="Garamond"/>
          <w:sz w:val="22"/>
          <w:szCs w:val="22"/>
        </w:rPr>
        <w:t xml:space="preserve"> to ensure </w:t>
      </w:r>
      <w:r w:rsidR="00633FAB" w:rsidRPr="003A4205">
        <w:rPr>
          <w:rFonts w:ascii="Garamond" w:hAnsi="Garamond"/>
          <w:sz w:val="22"/>
          <w:szCs w:val="22"/>
        </w:rPr>
        <w:t xml:space="preserve">adequate vetting of </w:t>
      </w:r>
      <w:r w:rsidR="00791E46" w:rsidRPr="003A4205">
        <w:rPr>
          <w:rFonts w:ascii="Garamond" w:hAnsi="Garamond"/>
          <w:sz w:val="22"/>
          <w:szCs w:val="22"/>
        </w:rPr>
        <w:t xml:space="preserve">presentations and reports </w:t>
      </w:r>
      <w:r w:rsidR="00663B88" w:rsidRPr="003A4205">
        <w:rPr>
          <w:rFonts w:ascii="Garamond" w:hAnsi="Garamond"/>
          <w:sz w:val="22"/>
          <w:szCs w:val="22"/>
        </w:rPr>
        <w:t>before meetings</w:t>
      </w:r>
      <w:r w:rsidR="00AD27F5" w:rsidRPr="003A4205">
        <w:rPr>
          <w:rFonts w:ascii="Garamond" w:hAnsi="Garamond"/>
          <w:sz w:val="22"/>
          <w:szCs w:val="22"/>
        </w:rPr>
        <w:t>, and to enable the TTWG to discuss and recommend next steps on technical issues to the full SRRTTF for decisions and actions</w:t>
      </w:r>
      <w:r w:rsidR="00663B88" w:rsidRPr="003A4205">
        <w:rPr>
          <w:rFonts w:ascii="Garamond" w:hAnsi="Garamond"/>
          <w:sz w:val="22"/>
          <w:szCs w:val="22"/>
        </w:rPr>
        <w:t>.</w:t>
      </w:r>
      <w:r w:rsidR="00835586" w:rsidRPr="003A4205">
        <w:rPr>
          <w:rFonts w:ascii="Garamond" w:hAnsi="Garamond"/>
          <w:sz w:val="22"/>
          <w:szCs w:val="22"/>
        </w:rPr>
        <w:t xml:space="preserve"> </w:t>
      </w:r>
    </w:p>
    <w:p w:rsidR="000B5123" w:rsidRPr="00903392" w:rsidRDefault="00A42CA6" w:rsidP="00903392">
      <w:pPr>
        <w:pStyle w:val="ListParagraph"/>
        <w:numPr>
          <w:ilvl w:val="0"/>
          <w:numId w:val="13"/>
        </w:numPr>
        <w:rPr>
          <w:rFonts w:ascii="Garamond" w:eastAsia="Times New Roman" w:hAnsi="Garamond"/>
        </w:rPr>
      </w:pPr>
      <w:r w:rsidRPr="003A4205">
        <w:rPr>
          <w:rFonts w:ascii="Garamond" w:hAnsi="Garamond"/>
          <w:b/>
        </w:rPr>
        <w:t>SRRTTF Comprehensive Plan</w:t>
      </w:r>
      <w:r w:rsidR="00117B80" w:rsidRPr="003A4205">
        <w:rPr>
          <w:rFonts w:ascii="Garamond" w:hAnsi="Garamond"/>
          <w:b/>
        </w:rPr>
        <w:t>:</w:t>
      </w:r>
      <w:r w:rsidR="00117B80" w:rsidRPr="003A4205">
        <w:rPr>
          <w:rFonts w:ascii="Garamond" w:hAnsi="Garamond"/>
        </w:rPr>
        <w:t xml:space="preserve"> </w:t>
      </w:r>
      <w:r w:rsidR="003A4205" w:rsidRPr="003A4205">
        <w:rPr>
          <w:rFonts w:ascii="Garamond" w:eastAsia="Times New Roman" w:hAnsi="Garamond"/>
        </w:rPr>
        <w:t xml:space="preserve">The Center facilitated communication, transparency, and document access for draft chapters of the Comprehensive Plan. This included developing and (continuously) updating a Comprehensive Planning page on the Task Force website, and gathering of and distributing </w:t>
      </w:r>
      <w:r w:rsidR="003A4205" w:rsidRPr="003A4205">
        <w:rPr>
          <w:rFonts w:ascii="Garamond" w:eastAsia="Times New Roman" w:hAnsi="Garamond"/>
        </w:rPr>
        <w:lastRenderedPageBreak/>
        <w:t xml:space="preserve">new drafts, comments, and revisions of the Comprehensive Plan memos and appendices. </w:t>
      </w:r>
      <w:r w:rsidR="00584305">
        <w:rPr>
          <w:rFonts w:ascii="Garamond" w:eastAsia="Times New Roman" w:hAnsi="Garamond"/>
        </w:rPr>
        <w:t>Chris Page</w:t>
      </w:r>
      <w:r w:rsidR="00B51E3E">
        <w:rPr>
          <w:rFonts w:ascii="Garamond" w:eastAsia="Times New Roman" w:hAnsi="Garamond"/>
        </w:rPr>
        <w:t xml:space="preserve"> also</w:t>
      </w:r>
      <w:r w:rsidR="00584305">
        <w:rPr>
          <w:rFonts w:ascii="Garamond" w:eastAsia="Times New Roman" w:hAnsi="Garamond"/>
        </w:rPr>
        <w:t xml:space="preserve"> help</w:t>
      </w:r>
      <w:r w:rsidR="00B51E3E">
        <w:rPr>
          <w:rFonts w:ascii="Garamond" w:eastAsia="Times New Roman" w:hAnsi="Garamond"/>
        </w:rPr>
        <w:t>ed</w:t>
      </w:r>
      <w:r w:rsidR="00584305">
        <w:rPr>
          <w:rFonts w:ascii="Garamond" w:eastAsia="Times New Roman" w:hAnsi="Garamond"/>
        </w:rPr>
        <w:t xml:space="preserve"> facilitate </w:t>
      </w:r>
      <w:r w:rsidR="00B51E3E">
        <w:rPr>
          <w:rFonts w:ascii="Garamond" w:eastAsia="Times New Roman" w:hAnsi="Garamond"/>
        </w:rPr>
        <w:t>compromises regarding</w:t>
      </w:r>
      <w:r w:rsidR="00584305">
        <w:rPr>
          <w:rFonts w:ascii="Garamond" w:eastAsia="Times New Roman" w:hAnsi="Garamond"/>
        </w:rPr>
        <w:t xml:space="preserve"> disagreements on specific co</w:t>
      </w:r>
      <w:r w:rsidR="00B51E3E">
        <w:rPr>
          <w:rFonts w:ascii="Garamond" w:eastAsia="Times New Roman" w:hAnsi="Garamond"/>
        </w:rPr>
        <w:t xml:space="preserve">ntent in the Comprehensive Plan. The incredible hard work of the Task Force accompanied by the facilitation of the Center led to the </w:t>
      </w:r>
      <w:r w:rsidR="000B5123">
        <w:rPr>
          <w:rFonts w:ascii="Garamond" w:eastAsia="Times New Roman" w:hAnsi="Garamond"/>
        </w:rPr>
        <w:t>completion</w:t>
      </w:r>
      <w:r w:rsidR="001C5BD8">
        <w:rPr>
          <w:rFonts w:ascii="Garamond" w:eastAsia="Times New Roman" w:hAnsi="Garamond"/>
        </w:rPr>
        <w:t xml:space="preserve"> and approval by all voting members of the Task Force, </w:t>
      </w:r>
      <w:r w:rsidR="00B51E3E">
        <w:rPr>
          <w:rFonts w:ascii="Garamond" w:eastAsia="Times New Roman" w:hAnsi="Garamond"/>
        </w:rPr>
        <w:t xml:space="preserve">of </w:t>
      </w:r>
      <w:r w:rsidR="001C5BD8">
        <w:rPr>
          <w:rFonts w:ascii="Garamond" w:eastAsia="Times New Roman" w:hAnsi="Garamond"/>
        </w:rPr>
        <w:t xml:space="preserve">the Final </w:t>
      </w:r>
      <w:r w:rsidR="00903392">
        <w:rPr>
          <w:rFonts w:ascii="Garamond" w:eastAsia="Times New Roman" w:hAnsi="Garamond"/>
        </w:rPr>
        <w:t>“</w:t>
      </w:r>
      <w:r w:rsidR="00903392" w:rsidRPr="00903392">
        <w:rPr>
          <w:rFonts w:ascii="Garamond" w:eastAsia="Times New Roman" w:hAnsi="Garamond"/>
          <w:i/>
        </w:rPr>
        <w:t>2016 Comprehensive Plan to Reduce</w:t>
      </w:r>
      <w:r w:rsidR="00903392" w:rsidRPr="00903392">
        <w:rPr>
          <w:rFonts w:ascii="Garamond" w:eastAsia="Times New Roman" w:hAnsi="Garamond"/>
          <w:i/>
        </w:rPr>
        <w:t xml:space="preserve"> </w:t>
      </w:r>
      <w:r w:rsidR="00903392" w:rsidRPr="00903392">
        <w:rPr>
          <w:rFonts w:ascii="Garamond" w:eastAsia="Times New Roman" w:hAnsi="Garamond"/>
          <w:i/>
        </w:rPr>
        <w:t>Polychlorinated Biphenyls (PCBs) in the</w:t>
      </w:r>
      <w:r w:rsidR="00903392" w:rsidRPr="00903392">
        <w:rPr>
          <w:rFonts w:ascii="Garamond" w:eastAsia="Times New Roman" w:hAnsi="Garamond"/>
          <w:i/>
        </w:rPr>
        <w:t xml:space="preserve"> </w:t>
      </w:r>
      <w:r w:rsidR="00903392" w:rsidRPr="00903392">
        <w:rPr>
          <w:rFonts w:ascii="Garamond" w:eastAsia="Times New Roman" w:hAnsi="Garamond"/>
          <w:i/>
        </w:rPr>
        <w:t>Spokane River</w:t>
      </w:r>
      <w:r w:rsidR="00903392">
        <w:rPr>
          <w:rFonts w:ascii="Garamond" w:eastAsia="Times New Roman" w:hAnsi="Garamond"/>
          <w:i/>
        </w:rPr>
        <w:t>”</w:t>
      </w:r>
      <w:r w:rsidR="00903392" w:rsidRPr="00903392">
        <w:rPr>
          <w:rFonts w:ascii="Garamond" w:eastAsia="Times New Roman" w:hAnsi="Garamond"/>
        </w:rPr>
        <w:t>.</w:t>
      </w:r>
    </w:p>
    <w:p w:rsidR="000B5123" w:rsidRPr="000B5123" w:rsidRDefault="000B5123" w:rsidP="000B5123">
      <w:pPr>
        <w:pStyle w:val="ListParagraph"/>
        <w:numPr>
          <w:ilvl w:val="0"/>
          <w:numId w:val="13"/>
        </w:numPr>
        <w:rPr>
          <w:rFonts w:ascii="Garamond" w:eastAsia="Times New Roman" w:hAnsi="Garamond"/>
        </w:rPr>
      </w:pPr>
      <w:r w:rsidRPr="001C5BD8">
        <w:rPr>
          <w:rFonts w:ascii="Garamond" w:eastAsia="Times New Roman" w:hAnsi="Garamond"/>
          <w:b/>
        </w:rPr>
        <w:t>Information Access:</w:t>
      </w:r>
      <w:r>
        <w:rPr>
          <w:rFonts w:ascii="Garamond" w:eastAsia="Times New Roman" w:hAnsi="Garamond"/>
        </w:rPr>
        <w:t xml:space="preserve"> The Center facilitated open communication with both Ecology an</w:t>
      </w:r>
      <w:r w:rsidR="001C5BD8">
        <w:rPr>
          <w:rFonts w:ascii="Garamond" w:eastAsia="Times New Roman" w:hAnsi="Garamond"/>
        </w:rPr>
        <w:t>d the Environmental Protection A</w:t>
      </w:r>
      <w:r>
        <w:rPr>
          <w:rFonts w:ascii="Garamond" w:eastAsia="Times New Roman" w:hAnsi="Garamond"/>
        </w:rPr>
        <w:t>gency</w:t>
      </w:r>
      <w:r w:rsidR="00903392">
        <w:rPr>
          <w:rFonts w:ascii="Garamond" w:eastAsia="Times New Roman" w:hAnsi="Garamond"/>
        </w:rPr>
        <w:t xml:space="preserve"> </w:t>
      </w:r>
      <w:r w:rsidR="001C5BD8">
        <w:rPr>
          <w:rFonts w:ascii="Garamond" w:eastAsia="Times New Roman" w:hAnsi="Garamond"/>
        </w:rPr>
        <w:t>(EPA)</w:t>
      </w:r>
      <w:r>
        <w:rPr>
          <w:rFonts w:ascii="Garamond" w:eastAsia="Times New Roman" w:hAnsi="Garamond"/>
        </w:rPr>
        <w:t xml:space="preserve"> around multiple complex, controversial rulemaking processes and decisions</w:t>
      </w:r>
      <w:r w:rsidR="001C5BD8">
        <w:rPr>
          <w:rFonts w:ascii="Garamond" w:eastAsia="Times New Roman" w:hAnsi="Garamond"/>
        </w:rPr>
        <w:t>.</w:t>
      </w:r>
      <w:r>
        <w:rPr>
          <w:rFonts w:ascii="Garamond" w:eastAsia="Times New Roman" w:hAnsi="Garamond"/>
        </w:rPr>
        <w:t xml:space="preserve"> (Policy 1-11, WA NPDES permits, Human Health Criteria and Water Quality Standards, </w:t>
      </w:r>
      <w:r w:rsidR="001C5BD8">
        <w:rPr>
          <w:rFonts w:ascii="Garamond" w:eastAsia="Times New Roman" w:hAnsi="Garamond"/>
        </w:rPr>
        <w:t>Chemicals of High Concern to Children, etc</w:t>
      </w:r>
      <w:r w:rsidR="00903392">
        <w:rPr>
          <w:rFonts w:ascii="Garamond" w:eastAsia="Times New Roman" w:hAnsi="Garamond"/>
        </w:rPr>
        <w:t>.</w:t>
      </w:r>
      <w:r w:rsidR="001C5BD8">
        <w:rPr>
          <w:rFonts w:ascii="Garamond" w:eastAsia="Times New Roman" w:hAnsi="Garamond"/>
        </w:rPr>
        <w:t>)</w:t>
      </w:r>
    </w:p>
    <w:p w:rsidR="003A4205" w:rsidRPr="003A4205" w:rsidRDefault="0084264E" w:rsidP="003A4205">
      <w:pPr>
        <w:pStyle w:val="ListParagraph"/>
        <w:numPr>
          <w:ilvl w:val="0"/>
          <w:numId w:val="13"/>
        </w:numPr>
        <w:rPr>
          <w:rFonts w:ascii="Garamond" w:eastAsia="Times New Roman" w:hAnsi="Garamond"/>
        </w:rPr>
      </w:pPr>
      <w:r w:rsidRPr="003A4205">
        <w:rPr>
          <w:rFonts w:ascii="Garamond" w:hAnsi="Garamond"/>
          <w:b/>
        </w:rPr>
        <w:t>Outreach:</w:t>
      </w:r>
      <w:r w:rsidRPr="003A4205">
        <w:rPr>
          <w:rFonts w:ascii="Garamond" w:hAnsi="Garamond"/>
        </w:rPr>
        <w:t xml:space="preserve"> </w:t>
      </w:r>
      <w:r w:rsidR="003A4205">
        <w:rPr>
          <w:rFonts w:ascii="Garamond" w:hAnsi="Garamond"/>
        </w:rPr>
        <w:t xml:space="preserve">The Center worked </w:t>
      </w:r>
      <w:r w:rsidR="003A4205" w:rsidRPr="003A4205">
        <w:rPr>
          <w:rFonts w:ascii="Garamond" w:hAnsi="Garamond"/>
        </w:rPr>
        <w:t>to identify opportunities for university research and expertise to inform outreach and public education and the process of reducing PCBs in the River.</w:t>
      </w:r>
      <w:r w:rsidR="003A4205">
        <w:rPr>
          <w:rFonts w:ascii="Garamond" w:hAnsi="Garamond"/>
        </w:rPr>
        <w:t xml:space="preserve"> </w:t>
      </w:r>
      <w:r w:rsidR="00A42CA6" w:rsidRPr="003A4205">
        <w:rPr>
          <w:rFonts w:ascii="Garamond" w:hAnsi="Garamond"/>
        </w:rPr>
        <w:t xml:space="preserve">The Ruckelshaus Center </w:t>
      </w:r>
      <w:r w:rsidR="00C36B9A">
        <w:rPr>
          <w:rFonts w:ascii="Garamond" w:hAnsi="Garamond"/>
        </w:rPr>
        <w:t>continued to work with</w:t>
      </w:r>
      <w:r w:rsidR="003A4205" w:rsidRPr="003A4205">
        <w:rPr>
          <w:rFonts w:ascii="Garamond" w:hAnsi="Garamond"/>
        </w:rPr>
        <w:t xml:space="preserve"> undergraduate student Brenden Campbell. Brenden </w:t>
      </w:r>
      <w:r w:rsidR="00C36B9A">
        <w:rPr>
          <w:rFonts w:ascii="Garamond" w:hAnsi="Garamond"/>
        </w:rPr>
        <w:t>who is</w:t>
      </w:r>
      <w:r w:rsidR="003A4205" w:rsidRPr="003A4205">
        <w:rPr>
          <w:rFonts w:ascii="Garamond" w:hAnsi="Garamond"/>
        </w:rPr>
        <w:t xml:space="preserve"> working with the Spokane Regional Toxics Task Force</w:t>
      </w:r>
      <w:r w:rsidR="003A4205">
        <w:rPr>
          <w:rFonts w:ascii="Garamond" w:hAnsi="Garamond"/>
        </w:rPr>
        <w:t xml:space="preserve"> on Education and Outreach</w:t>
      </w:r>
      <w:r w:rsidR="003A4205" w:rsidRPr="003A4205">
        <w:rPr>
          <w:rFonts w:ascii="Garamond" w:hAnsi="Garamond"/>
        </w:rPr>
        <w:t xml:space="preserve"> as part of his Ignite grant program.</w:t>
      </w:r>
      <w:r w:rsidR="003A4205">
        <w:rPr>
          <w:rFonts w:ascii="Garamond" w:hAnsi="Garamond"/>
        </w:rPr>
        <w:t xml:space="preserve"> The Ignite program provides funding for undergraduate students to engage with faculty in research projects. </w:t>
      </w:r>
      <w:r w:rsidR="003A4205" w:rsidRPr="003A4205">
        <w:rPr>
          <w:rFonts w:ascii="Garamond" w:hAnsi="Garamond"/>
        </w:rPr>
        <w:t xml:space="preserve"> </w:t>
      </w:r>
      <w:r w:rsidR="003A4205" w:rsidRPr="003A4205">
        <w:rPr>
          <w:rFonts w:ascii="Garamond" w:eastAsia="Times New Roman" w:hAnsi="Garamond"/>
        </w:rPr>
        <w:t xml:space="preserve">The Center also continued to facilitate the Task Force Education and Outreach workgroup, which </w:t>
      </w:r>
      <w:r w:rsidR="00C36B9A">
        <w:rPr>
          <w:rFonts w:ascii="Garamond" w:eastAsia="Times New Roman" w:hAnsi="Garamond"/>
        </w:rPr>
        <w:t>has begun to</w:t>
      </w:r>
      <w:r w:rsidR="003A4205" w:rsidRPr="003A4205">
        <w:rPr>
          <w:rFonts w:ascii="Garamond" w:eastAsia="Times New Roman" w:hAnsi="Garamond"/>
        </w:rPr>
        <w:t xml:space="preserve"> address outreach actions in the final Comprehensive Plan.</w:t>
      </w:r>
      <w:r w:rsidR="00C36B9A">
        <w:rPr>
          <w:rFonts w:ascii="Garamond" w:eastAsia="Times New Roman" w:hAnsi="Garamond"/>
        </w:rPr>
        <w:t xml:space="preserve"> </w:t>
      </w:r>
    </w:p>
    <w:p w:rsidR="003A4205" w:rsidRDefault="001C5BD8" w:rsidP="003A4205">
      <w:pPr>
        <w:pStyle w:val="BodyText"/>
        <w:widowControl w:val="0"/>
        <w:numPr>
          <w:ilvl w:val="0"/>
          <w:numId w:val="27"/>
        </w:numPr>
        <w:tabs>
          <w:tab w:val="left" w:pos="390"/>
        </w:tabs>
        <w:rPr>
          <w:rFonts w:ascii="Garamond" w:hAnsi="Garamond"/>
          <w:color w:val="000000" w:themeColor="text1"/>
          <w:szCs w:val="22"/>
        </w:rPr>
      </w:pPr>
      <w:r w:rsidRPr="001C5BD8">
        <w:rPr>
          <w:rFonts w:ascii="Garamond" w:hAnsi="Garamond"/>
          <w:b/>
          <w:szCs w:val="22"/>
        </w:rPr>
        <w:t>Other Communication:</w:t>
      </w:r>
      <w:r>
        <w:rPr>
          <w:rFonts w:ascii="Garamond" w:hAnsi="Garamond"/>
          <w:szCs w:val="22"/>
        </w:rPr>
        <w:t xml:space="preserve"> </w:t>
      </w:r>
      <w:r w:rsidR="003A4205" w:rsidRPr="003A4205">
        <w:rPr>
          <w:rFonts w:ascii="Garamond" w:hAnsi="Garamond"/>
          <w:szCs w:val="22"/>
        </w:rPr>
        <w:t xml:space="preserve">The center facilitated the process of the Task Force the development </w:t>
      </w:r>
      <w:r w:rsidR="000B5123">
        <w:rPr>
          <w:rFonts w:ascii="Garamond" w:hAnsi="Garamond"/>
          <w:szCs w:val="22"/>
        </w:rPr>
        <w:t xml:space="preserve">and distribution of </w:t>
      </w:r>
      <w:r>
        <w:rPr>
          <w:rFonts w:ascii="Garamond" w:hAnsi="Garamond"/>
          <w:szCs w:val="22"/>
        </w:rPr>
        <w:t xml:space="preserve">a comment letter to the Hazardous Waste and Toxics Reduction Program regarding the rulemaking process on the </w:t>
      </w:r>
      <w:r w:rsidRPr="001C5BD8">
        <w:rPr>
          <w:rFonts w:ascii="Garamond" w:hAnsi="Garamond"/>
          <w:szCs w:val="22"/>
        </w:rPr>
        <w:t>Chemicals of High Concern to Children (CHCC) update of the Children’s Safe Products Act Reporting Rule (CSPA</w:t>
      </w:r>
      <w:r>
        <w:rPr>
          <w:rFonts w:ascii="Garamond" w:hAnsi="Garamond"/>
          <w:szCs w:val="22"/>
        </w:rPr>
        <w:t xml:space="preserve"> Reporting rule) (WAC 173-334), and also distributed the letter to </w:t>
      </w:r>
      <w:r w:rsidRPr="001C5BD8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 xml:space="preserve">the EPA and State legislators regarding the Toxic Substances Control Act(TSCA) allowances for PCBs in light of the new Washington Water Quality Standards. </w:t>
      </w:r>
    </w:p>
    <w:p w:rsidR="00085CE1" w:rsidRPr="003A4205" w:rsidRDefault="00085CE1" w:rsidP="0084264E">
      <w:pPr>
        <w:ind w:left="360"/>
        <w:rPr>
          <w:rFonts w:ascii="Garamond" w:hAnsi="Garamond"/>
          <w:sz w:val="22"/>
          <w:szCs w:val="22"/>
        </w:rPr>
      </w:pPr>
    </w:p>
    <w:p w:rsidR="00AD50D3" w:rsidRPr="003A4205" w:rsidRDefault="00DD50C6" w:rsidP="0084264E">
      <w:pPr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Upcoming </w:t>
      </w:r>
      <w:r w:rsidR="00983D52" w:rsidRPr="003A4205">
        <w:rPr>
          <w:rFonts w:ascii="Garamond" w:hAnsi="Garamond"/>
          <w:b/>
          <w:sz w:val="22"/>
          <w:szCs w:val="22"/>
        </w:rPr>
        <w:t>Center work with Task Force members and Work Groups</w:t>
      </w:r>
      <w:r w:rsidR="00AD50D3" w:rsidRPr="003A4205">
        <w:rPr>
          <w:rFonts w:ascii="Garamond" w:hAnsi="Garamond"/>
          <w:b/>
          <w:sz w:val="22"/>
          <w:szCs w:val="22"/>
        </w:rPr>
        <w:t>:</w:t>
      </w:r>
    </w:p>
    <w:p w:rsidR="00C42F52" w:rsidRPr="003A4205" w:rsidRDefault="00C42F52" w:rsidP="00C42F52">
      <w:pPr>
        <w:pStyle w:val="ListParagraph"/>
        <w:widowControl w:val="0"/>
        <w:numPr>
          <w:ilvl w:val="0"/>
          <w:numId w:val="13"/>
        </w:numPr>
        <w:contextualSpacing w:val="0"/>
        <w:jc w:val="both"/>
        <w:rPr>
          <w:rFonts w:ascii="Garamond" w:eastAsia="Garamond" w:hAnsi="Garamond" w:cs="Garamond"/>
        </w:rPr>
      </w:pPr>
      <w:r w:rsidRPr="003A4205">
        <w:rPr>
          <w:rFonts w:ascii="Garamond" w:hAnsi="Garamond"/>
        </w:rPr>
        <w:t>The Center will facilitate and coordinate meetings of the Task Force and its work groups, as well as to identify opportunities for university research and expertise</w:t>
      </w:r>
      <w:r w:rsidRPr="003A4205">
        <w:rPr>
          <w:rFonts w:ascii="Garamond" w:hAnsi="Garamond"/>
          <w:spacing w:val="-34"/>
        </w:rPr>
        <w:t xml:space="preserve"> </w:t>
      </w:r>
      <w:r w:rsidRPr="003A4205">
        <w:rPr>
          <w:rFonts w:ascii="Garamond" w:hAnsi="Garamond"/>
        </w:rPr>
        <w:t>to inform outreach and public education and the process of reducing toxins in the</w:t>
      </w:r>
      <w:r w:rsidRPr="003A4205">
        <w:rPr>
          <w:rFonts w:ascii="Garamond" w:hAnsi="Garamond"/>
          <w:spacing w:val="-34"/>
        </w:rPr>
        <w:t xml:space="preserve"> </w:t>
      </w:r>
      <w:r w:rsidRPr="003A4205">
        <w:rPr>
          <w:rFonts w:ascii="Garamond" w:hAnsi="Garamond"/>
        </w:rPr>
        <w:t>River</w:t>
      </w:r>
      <w:r w:rsidR="00A42CA6" w:rsidRPr="003A4205">
        <w:rPr>
          <w:rFonts w:ascii="Garamond" w:hAnsi="Garamond"/>
        </w:rPr>
        <w:t>, at least through June 30, 2017</w:t>
      </w:r>
      <w:r w:rsidRPr="003A4205">
        <w:rPr>
          <w:rFonts w:ascii="Garamond" w:hAnsi="Garamond"/>
        </w:rPr>
        <w:t>.</w:t>
      </w:r>
    </w:p>
    <w:p w:rsidR="0058163E" w:rsidRPr="003A4205" w:rsidRDefault="00285244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The Task Force and </w:t>
      </w:r>
      <w:r w:rsidR="0058163E" w:rsidRPr="003A4205">
        <w:rPr>
          <w:rFonts w:ascii="Garamond" w:hAnsi="Garamond"/>
          <w:sz w:val="22"/>
          <w:szCs w:val="22"/>
        </w:rPr>
        <w:t>work groups will conti</w:t>
      </w:r>
      <w:r w:rsidR="00655074" w:rsidRPr="003A4205">
        <w:rPr>
          <w:rFonts w:ascii="Garamond" w:hAnsi="Garamond"/>
          <w:sz w:val="22"/>
          <w:szCs w:val="22"/>
        </w:rPr>
        <w:t>nue to meet on a monthly basis</w:t>
      </w:r>
      <w:r w:rsidR="00B44A4D" w:rsidRPr="003A4205">
        <w:rPr>
          <w:rFonts w:ascii="Garamond" w:hAnsi="Garamond"/>
          <w:sz w:val="22"/>
          <w:szCs w:val="22"/>
        </w:rPr>
        <w:t>.</w:t>
      </w:r>
    </w:p>
    <w:p w:rsidR="00494B38" w:rsidRPr="003A4205" w:rsidRDefault="00346C63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The Task Force will continue to work with the </w:t>
      </w:r>
      <w:r w:rsidR="00AB6174" w:rsidRPr="003A4205">
        <w:rPr>
          <w:rFonts w:ascii="Garamond" w:hAnsi="Garamond"/>
          <w:sz w:val="22"/>
          <w:szCs w:val="22"/>
        </w:rPr>
        <w:t>Technical Consultant</w:t>
      </w:r>
      <w:r w:rsidRPr="003A4205">
        <w:rPr>
          <w:rFonts w:ascii="Garamond" w:hAnsi="Garamond"/>
          <w:sz w:val="22"/>
          <w:szCs w:val="22"/>
        </w:rPr>
        <w:t xml:space="preserve"> on</w:t>
      </w:r>
      <w:r w:rsidR="00285244" w:rsidRPr="003A4205">
        <w:rPr>
          <w:rFonts w:ascii="Garamond" w:hAnsi="Garamond"/>
          <w:sz w:val="22"/>
          <w:szCs w:val="22"/>
        </w:rPr>
        <w:t xml:space="preserve"> completing assigned Tasks</w:t>
      </w:r>
      <w:r w:rsidR="00D507CC" w:rsidRPr="003A4205">
        <w:rPr>
          <w:rFonts w:ascii="Garamond" w:hAnsi="Garamond"/>
          <w:sz w:val="22"/>
          <w:szCs w:val="22"/>
        </w:rPr>
        <w:t xml:space="preserve"> as well as on </w:t>
      </w:r>
      <w:r w:rsidR="000B5123">
        <w:rPr>
          <w:rFonts w:ascii="Garamond" w:hAnsi="Garamond"/>
          <w:sz w:val="22"/>
          <w:szCs w:val="22"/>
        </w:rPr>
        <w:t>any future work that the Task Force will complete in the implementation phase of the Comprehensive Plan.</w:t>
      </w:r>
    </w:p>
    <w:p w:rsidR="00A40361" w:rsidRPr="003A4205" w:rsidRDefault="00A40361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bookmarkStart w:id="3" w:name="_GoBack"/>
      <w:bookmarkEnd w:id="3"/>
      <w:r w:rsidRPr="003A4205">
        <w:rPr>
          <w:rFonts w:ascii="Garamond" w:hAnsi="Garamond"/>
          <w:sz w:val="22"/>
          <w:szCs w:val="22"/>
        </w:rPr>
        <w:t xml:space="preserve">The </w:t>
      </w:r>
      <w:r w:rsidR="00792174" w:rsidRPr="003A4205">
        <w:rPr>
          <w:rFonts w:ascii="Garamond" w:hAnsi="Garamond"/>
          <w:sz w:val="22"/>
          <w:szCs w:val="22"/>
        </w:rPr>
        <w:t>C</w:t>
      </w:r>
      <w:r w:rsidRPr="003A4205">
        <w:rPr>
          <w:rFonts w:ascii="Garamond" w:hAnsi="Garamond"/>
          <w:sz w:val="22"/>
          <w:szCs w:val="22"/>
        </w:rPr>
        <w:t xml:space="preserve">enter will </w:t>
      </w:r>
      <w:r w:rsidR="006C6E07" w:rsidRPr="003A4205">
        <w:rPr>
          <w:rFonts w:ascii="Garamond" w:hAnsi="Garamond"/>
          <w:sz w:val="22"/>
          <w:szCs w:val="22"/>
        </w:rPr>
        <w:t xml:space="preserve">continue to provide support for </w:t>
      </w:r>
      <w:r w:rsidRPr="003A4205">
        <w:rPr>
          <w:rFonts w:ascii="Garamond" w:hAnsi="Garamond"/>
          <w:sz w:val="22"/>
          <w:szCs w:val="22"/>
        </w:rPr>
        <w:t xml:space="preserve">Task Force </w:t>
      </w:r>
      <w:r w:rsidR="0084264E" w:rsidRPr="003A4205">
        <w:rPr>
          <w:rFonts w:ascii="Garamond" w:hAnsi="Garamond"/>
          <w:sz w:val="22"/>
          <w:szCs w:val="22"/>
        </w:rPr>
        <w:t>ad-hoc work groups</w:t>
      </w:r>
      <w:r w:rsidR="000B5123">
        <w:rPr>
          <w:rFonts w:ascii="Garamond" w:hAnsi="Garamond"/>
          <w:sz w:val="22"/>
          <w:szCs w:val="22"/>
        </w:rPr>
        <w:t xml:space="preserve"> as they work to develop work </w:t>
      </w:r>
      <w:r w:rsidR="00903392">
        <w:rPr>
          <w:rFonts w:ascii="Garamond" w:hAnsi="Garamond"/>
          <w:sz w:val="22"/>
          <w:szCs w:val="22"/>
        </w:rPr>
        <w:t>plans</w:t>
      </w:r>
      <w:r w:rsidR="00903392" w:rsidRPr="003A4205">
        <w:rPr>
          <w:rFonts w:ascii="Garamond" w:hAnsi="Garamond"/>
          <w:sz w:val="22"/>
          <w:szCs w:val="22"/>
        </w:rPr>
        <w:t xml:space="preserve"> (</w:t>
      </w:r>
      <w:r w:rsidR="0084264E" w:rsidRPr="003A4205">
        <w:rPr>
          <w:rFonts w:ascii="Garamond" w:hAnsi="Garamond"/>
          <w:sz w:val="22"/>
          <w:szCs w:val="22"/>
        </w:rPr>
        <w:t>e</w:t>
      </w:r>
      <w:r w:rsidRPr="003A4205">
        <w:rPr>
          <w:rFonts w:ascii="Garamond" w:hAnsi="Garamond"/>
          <w:sz w:val="22"/>
          <w:szCs w:val="22"/>
        </w:rPr>
        <w:t xml:space="preserve">ducation and </w:t>
      </w:r>
      <w:r w:rsidR="0084264E" w:rsidRPr="003A4205">
        <w:rPr>
          <w:rFonts w:ascii="Garamond" w:hAnsi="Garamond"/>
          <w:sz w:val="22"/>
          <w:szCs w:val="22"/>
        </w:rPr>
        <w:t>o</w:t>
      </w:r>
      <w:r w:rsidRPr="003A4205">
        <w:rPr>
          <w:rFonts w:ascii="Garamond" w:hAnsi="Garamond"/>
          <w:sz w:val="22"/>
          <w:szCs w:val="22"/>
        </w:rPr>
        <w:t>utreach</w:t>
      </w:r>
      <w:r w:rsidR="0084264E" w:rsidRPr="003A4205">
        <w:rPr>
          <w:rFonts w:ascii="Garamond" w:hAnsi="Garamond"/>
          <w:sz w:val="22"/>
          <w:szCs w:val="22"/>
        </w:rPr>
        <w:t>, database management, fish and hatcheries</w:t>
      </w:r>
      <w:proofErr w:type="gramStart"/>
      <w:r w:rsidR="00C11F8A" w:rsidRPr="003A4205">
        <w:rPr>
          <w:rFonts w:ascii="Garamond" w:hAnsi="Garamond"/>
          <w:sz w:val="22"/>
          <w:szCs w:val="22"/>
        </w:rPr>
        <w:t>,</w:t>
      </w:r>
      <w:r w:rsidR="000B5123">
        <w:rPr>
          <w:rFonts w:ascii="Garamond" w:hAnsi="Garamond"/>
          <w:sz w:val="22"/>
          <w:szCs w:val="22"/>
        </w:rPr>
        <w:t xml:space="preserve">  TSCA</w:t>
      </w:r>
      <w:proofErr w:type="gramEnd"/>
      <w:r w:rsidR="000B5123">
        <w:rPr>
          <w:rFonts w:ascii="Garamond" w:hAnsi="Garamond"/>
          <w:sz w:val="22"/>
          <w:szCs w:val="22"/>
        </w:rPr>
        <w:t xml:space="preserve">, </w:t>
      </w:r>
      <w:r w:rsidR="00C11F8A" w:rsidRPr="003A4205">
        <w:rPr>
          <w:rFonts w:ascii="Garamond" w:hAnsi="Garamond"/>
          <w:sz w:val="22"/>
          <w:szCs w:val="22"/>
        </w:rPr>
        <w:t>etc.</w:t>
      </w:r>
      <w:r w:rsidR="00B94E5C" w:rsidRPr="003A4205">
        <w:rPr>
          <w:rFonts w:ascii="Garamond" w:hAnsi="Garamond"/>
          <w:sz w:val="22"/>
          <w:szCs w:val="22"/>
        </w:rPr>
        <w:t>) as needed.</w:t>
      </w:r>
    </w:p>
    <w:p w:rsidR="00494B38" w:rsidRPr="003A4205" w:rsidRDefault="00B94E5C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The Center will facilitate the </w:t>
      </w:r>
      <w:r w:rsidR="00DD6220" w:rsidRPr="003A4205">
        <w:rPr>
          <w:rFonts w:ascii="Garamond" w:hAnsi="Garamond"/>
          <w:sz w:val="22"/>
          <w:szCs w:val="22"/>
        </w:rPr>
        <w:t>Task Force</w:t>
      </w:r>
      <w:r w:rsidRPr="003A4205">
        <w:rPr>
          <w:rFonts w:ascii="Garamond" w:hAnsi="Garamond"/>
          <w:sz w:val="22"/>
          <w:szCs w:val="22"/>
        </w:rPr>
        <w:t xml:space="preserve">’s process of </w:t>
      </w:r>
      <w:r w:rsidR="00C11F8A" w:rsidRPr="003A4205">
        <w:rPr>
          <w:rFonts w:ascii="Garamond" w:hAnsi="Garamond"/>
          <w:sz w:val="22"/>
          <w:szCs w:val="22"/>
        </w:rPr>
        <w:t xml:space="preserve">considering the addition of </w:t>
      </w:r>
      <w:r w:rsidRPr="003A4205">
        <w:rPr>
          <w:rFonts w:ascii="Garamond" w:hAnsi="Garamond"/>
          <w:sz w:val="22"/>
          <w:szCs w:val="22"/>
        </w:rPr>
        <w:t>new members along with</w:t>
      </w:r>
      <w:r w:rsidR="006A71BB" w:rsidRPr="003A4205">
        <w:rPr>
          <w:rFonts w:ascii="Garamond" w:hAnsi="Garamond"/>
          <w:sz w:val="22"/>
          <w:szCs w:val="22"/>
        </w:rPr>
        <w:t xml:space="preserve"> agreement on</w:t>
      </w:r>
      <w:r w:rsidR="00C11F8A" w:rsidRPr="003A4205">
        <w:rPr>
          <w:rFonts w:ascii="Garamond" w:hAnsi="Garamond"/>
          <w:sz w:val="22"/>
          <w:szCs w:val="22"/>
        </w:rPr>
        <w:t xml:space="preserve"> any further</w:t>
      </w:r>
      <w:r w:rsidR="006A71BB" w:rsidRPr="003A4205">
        <w:rPr>
          <w:rFonts w:ascii="Garamond" w:hAnsi="Garamond"/>
          <w:sz w:val="22"/>
          <w:szCs w:val="22"/>
        </w:rPr>
        <w:t xml:space="preserve"> needed changes to the group’s </w:t>
      </w:r>
      <w:r w:rsidR="0054266D" w:rsidRPr="003A4205">
        <w:rPr>
          <w:rFonts w:ascii="Garamond" w:hAnsi="Garamond"/>
          <w:sz w:val="22"/>
          <w:szCs w:val="22"/>
        </w:rPr>
        <w:t>M</w:t>
      </w:r>
      <w:r w:rsidRPr="003A4205">
        <w:rPr>
          <w:rFonts w:ascii="Garamond" w:hAnsi="Garamond"/>
          <w:sz w:val="22"/>
          <w:szCs w:val="22"/>
        </w:rPr>
        <w:t xml:space="preserve">emorandum of </w:t>
      </w:r>
      <w:r w:rsidR="0054266D" w:rsidRPr="003A4205">
        <w:rPr>
          <w:rFonts w:ascii="Garamond" w:hAnsi="Garamond"/>
          <w:sz w:val="22"/>
          <w:szCs w:val="22"/>
        </w:rPr>
        <w:t>A</w:t>
      </w:r>
      <w:r w:rsidRPr="003A4205">
        <w:rPr>
          <w:rFonts w:ascii="Garamond" w:hAnsi="Garamond"/>
          <w:sz w:val="22"/>
          <w:szCs w:val="22"/>
        </w:rPr>
        <w:t>greement (MOA) if that becomes necessary</w:t>
      </w:r>
      <w:r w:rsidR="006A71BB" w:rsidRPr="003A4205">
        <w:rPr>
          <w:rFonts w:ascii="Garamond" w:hAnsi="Garamond"/>
          <w:sz w:val="22"/>
          <w:szCs w:val="22"/>
        </w:rPr>
        <w:t>.</w:t>
      </w:r>
      <w:r w:rsidR="00792174" w:rsidRPr="003A4205">
        <w:rPr>
          <w:rFonts w:ascii="Garamond" w:hAnsi="Garamond"/>
          <w:sz w:val="22"/>
          <w:szCs w:val="22"/>
        </w:rPr>
        <w:t xml:space="preserve"> The Center w</w:t>
      </w:r>
      <w:r w:rsidRPr="003A4205">
        <w:rPr>
          <w:rFonts w:ascii="Garamond" w:hAnsi="Garamond"/>
          <w:sz w:val="22"/>
          <w:szCs w:val="22"/>
        </w:rPr>
        <w:t>ou</w:t>
      </w:r>
      <w:r w:rsidR="00792174" w:rsidRPr="003A4205">
        <w:rPr>
          <w:rFonts w:ascii="Garamond" w:hAnsi="Garamond"/>
          <w:sz w:val="22"/>
          <w:szCs w:val="22"/>
        </w:rPr>
        <w:t>l</w:t>
      </w:r>
      <w:r w:rsidRPr="003A4205">
        <w:rPr>
          <w:rFonts w:ascii="Garamond" w:hAnsi="Garamond"/>
          <w:sz w:val="22"/>
          <w:szCs w:val="22"/>
        </w:rPr>
        <w:t>d</w:t>
      </w:r>
      <w:r w:rsidR="00792174" w:rsidRPr="003A4205">
        <w:rPr>
          <w:rFonts w:ascii="Garamond" w:hAnsi="Garamond"/>
          <w:sz w:val="22"/>
          <w:szCs w:val="22"/>
        </w:rPr>
        <w:t xml:space="preserve"> also assist in inviting new parties as identified by the Tas</w:t>
      </w:r>
      <w:r w:rsidR="00AD27F5" w:rsidRPr="003A4205">
        <w:rPr>
          <w:rFonts w:ascii="Garamond" w:hAnsi="Garamond"/>
          <w:sz w:val="22"/>
          <w:szCs w:val="22"/>
        </w:rPr>
        <w:t>k Force after MOA legal review.</w:t>
      </w:r>
    </w:p>
    <w:p w:rsidR="00F758EB" w:rsidRPr="003A4205" w:rsidRDefault="00263157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The </w:t>
      </w:r>
      <w:r w:rsidR="00C11F8A" w:rsidRPr="003A4205">
        <w:rPr>
          <w:rFonts w:ascii="Garamond" w:hAnsi="Garamond"/>
          <w:sz w:val="22"/>
          <w:szCs w:val="22"/>
        </w:rPr>
        <w:t xml:space="preserve">Center will continue to assist the </w:t>
      </w:r>
      <w:r w:rsidRPr="003A4205">
        <w:rPr>
          <w:rFonts w:ascii="Garamond" w:hAnsi="Garamond"/>
          <w:sz w:val="22"/>
          <w:szCs w:val="22"/>
        </w:rPr>
        <w:t xml:space="preserve">Task Force </w:t>
      </w:r>
      <w:r w:rsidR="00C11F8A" w:rsidRPr="003A4205">
        <w:rPr>
          <w:rFonts w:ascii="Garamond" w:hAnsi="Garamond"/>
          <w:sz w:val="22"/>
          <w:szCs w:val="22"/>
        </w:rPr>
        <w:t>as it documents activities and develops</w:t>
      </w:r>
      <w:r w:rsidRPr="003A4205">
        <w:rPr>
          <w:rFonts w:ascii="Garamond" w:hAnsi="Garamond"/>
          <w:sz w:val="22"/>
          <w:szCs w:val="22"/>
        </w:rPr>
        <w:t xml:space="preserve"> and i</w:t>
      </w:r>
      <w:r w:rsidR="00AD27F5" w:rsidRPr="003A4205">
        <w:rPr>
          <w:rFonts w:ascii="Garamond" w:hAnsi="Garamond"/>
          <w:sz w:val="22"/>
          <w:szCs w:val="22"/>
        </w:rPr>
        <w:t>mplements</w:t>
      </w:r>
      <w:r w:rsidR="0081499F" w:rsidRPr="003A4205">
        <w:rPr>
          <w:rFonts w:ascii="Garamond" w:hAnsi="Garamond"/>
          <w:sz w:val="22"/>
          <w:szCs w:val="22"/>
        </w:rPr>
        <w:t xml:space="preserve"> a communication strategy.</w:t>
      </w:r>
    </w:p>
    <w:p w:rsidR="002D7F0E" w:rsidRPr="003A4205" w:rsidRDefault="002D7F0E" w:rsidP="0084264E">
      <w:pPr>
        <w:ind w:left="720"/>
        <w:rPr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Style w:val="Strong"/>
          <w:rFonts w:ascii="Garamond" w:hAnsi="Garamond"/>
          <w:sz w:val="22"/>
          <w:szCs w:val="22"/>
        </w:rPr>
        <w:t>The William D. Ruckelshaus Center</w:t>
      </w:r>
      <w:r w:rsidRPr="003A4205">
        <w:rPr>
          <w:rFonts w:ascii="Garamond" w:hAnsi="Garamond"/>
          <w:sz w:val="22"/>
          <w:szCs w:val="22"/>
        </w:rPr>
        <w:t xml:space="preserve"> </w:t>
      </w: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Email: </w:t>
      </w:r>
      <w:hyperlink r:id="rId8" w:history="1">
        <w:r w:rsidRPr="003A4205">
          <w:rPr>
            <w:rStyle w:val="Hyperlink"/>
            <w:rFonts w:ascii="Garamond" w:hAnsi="Garamond"/>
            <w:sz w:val="22"/>
            <w:szCs w:val="22"/>
          </w:rPr>
          <w:t>ruckelshauscenter@wsu.edu</w:t>
        </w:r>
      </w:hyperlink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  <w:sectPr w:rsidR="002D7F0E" w:rsidRPr="003A4205" w:rsidSect="0084264E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655074" w:rsidRPr="003A4205" w:rsidRDefault="00655074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  <w:sectPr w:rsidR="002D7F0E" w:rsidRPr="003A4205" w:rsidSect="000D35D0"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2E4A7B" w:rsidRPr="003A4205" w:rsidRDefault="002E4A7B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Style w:val="Strong"/>
          <w:rFonts w:ascii="Garamond" w:hAnsi="Garamond"/>
          <w:sz w:val="22"/>
          <w:szCs w:val="22"/>
        </w:rPr>
        <w:t xml:space="preserve">Seattle Office: </w:t>
      </w:r>
      <w:r w:rsidRPr="003A4205">
        <w:rPr>
          <w:rFonts w:ascii="Garamond" w:hAnsi="Garamond"/>
          <w:b/>
          <w:bCs/>
          <w:sz w:val="22"/>
          <w:szCs w:val="22"/>
        </w:rPr>
        <w:br/>
      </w:r>
      <w:r w:rsidRPr="003A4205">
        <w:rPr>
          <w:rFonts w:ascii="Garamond" w:hAnsi="Garamond"/>
          <w:sz w:val="22"/>
          <w:szCs w:val="22"/>
        </w:rPr>
        <w:t>901 - 5th Ave</w:t>
      </w:r>
      <w:r w:rsidR="00556337" w:rsidRPr="003A4205">
        <w:rPr>
          <w:rFonts w:ascii="Garamond" w:hAnsi="Garamond"/>
          <w:sz w:val="22"/>
          <w:szCs w:val="22"/>
        </w:rPr>
        <w:t>nue, Suite 2900</w:t>
      </w:r>
      <w:r w:rsidR="00556337" w:rsidRPr="003A4205">
        <w:rPr>
          <w:rFonts w:ascii="Garamond" w:hAnsi="Garamond"/>
          <w:sz w:val="22"/>
          <w:szCs w:val="22"/>
        </w:rPr>
        <w:br/>
        <w:t>Seattle, WA 98164</w:t>
      </w:r>
      <w:r w:rsidRPr="003A4205">
        <w:rPr>
          <w:rFonts w:ascii="Garamond" w:hAnsi="Garamond"/>
          <w:sz w:val="22"/>
          <w:szCs w:val="22"/>
        </w:rPr>
        <w:t>-2040</w:t>
      </w: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>Phone: (206) 428-3021</w:t>
      </w:r>
      <w:r w:rsidRPr="003A4205">
        <w:rPr>
          <w:rFonts w:ascii="Garamond" w:hAnsi="Garamond"/>
          <w:sz w:val="22"/>
          <w:szCs w:val="22"/>
        </w:rPr>
        <w:br/>
        <w:t>Fax: (206) 448-1334</w:t>
      </w: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Style w:val="Strong"/>
          <w:rFonts w:ascii="Garamond" w:hAnsi="Garamond"/>
          <w:sz w:val="22"/>
          <w:szCs w:val="22"/>
        </w:rPr>
        <w:t xml:space="preserve">Pullman Office: </w:t>
      </w:r>
      <w:r w:rsidRPr="003A4205">
        <w:rPr>
          <w:rFonts w:ascii="Garamond" w:hAnsi="Garamond"/>
          <w:sz w:val="22"/>
          <w:szCs w:val="22"/>
        </w:rPr>
        <w:br/>
        <w:t xml:space="preserve">P.O. Box 646248 </w:t>
      </w:r>
      <w:r w:rsidRPr="003A4205">
        <w:rPr>
          <w:rFonts w:ascii="Garamond" w:hAnsi="Garamond"/>
          <w:sz w:val="22"/>
          <w:szCs w:val="22"/>
        </w:rPr>
        <w:br/>
        <w:t xml:space="preserve">Pullman, WA 99164-6248 </w:t>
      </w: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>Phone: (50</w:t>
      </w:r>
      <w:r w:rsidR="00AB6174" w:rsidRPr="003A4205">
        <w:rPr>
          <w:rFonts w:ascii="Garamond" w:hAnsi="Garamond"/>
          <w:sz w:val="22"/>
          <w:szCs w:val="22"/>
        </w:rPr>
        <w:t>9) 335-2937</w:t>
      </w:r>
      <w:r w:rsidR="00AB6174" w:rsidRPr="003A4205">
        <w:rPr>
          <w:rFonts w:ascii="Garamond" w:hAnsi="Garamond"/>
          <w:sz w:val="22"/>
          <w:szCs w:val="22"/>
        </w:rPr>
        <w:br/>
        <w:t>Fax: (509) 335-2926</w:t>
      </w:r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  <w:sectPr w:rsidR="002D7F0E" w:rsidRPr="003A4205" w:rsidSect="002D7F0E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sectPr w:rsidR="002D7F0E" w:rsidRPr="003A4205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D8" w:rsidRDefault="001C5BD8">
      <w:r>
        <w:separator/>
      </w:r>
    </w:p>
  </w:endnote>
  <w:endnote w:type="continuationSeparator" w:id="0">
    <w:p w:rsidR="001C5BD8" w:rsidRDefault="001C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D8" w:rsidRDefault="001C5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BD8" w:rsidRDefault="001C5B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D8" w:rsidRDefault="001C5BD8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fldSimple w:instr=" PAGE   \* MERGEFORMAT ">
      <w:r w:rsidR="00B51E3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D8" w:rsidRDefault="001C5BD8" w:rsidP="00AB248A">
    <w:pPr>
      <w:pStyle w:val="Footer"/>
      <w:tabs>
        <w:tab w:val="left" w:pos="5310"/>
      </w:tabs>
    </w:pPr>
    <w:r>
      <w:t>Ruckelshaus Center SRRTTF Quarterly Report</w:t>
    </w:r>
    <w:r>
      <w:ptab w:relativeTo="margin" w:alignment="center" w:leader="none"/>
    </w:r>
    <w:r>
      <w:tab/>
      <w:t>Prepared by: Kara Whitman</w:t>
    </w:r>
    <w:r>
      <w:ptab w:relativeTo="margin" w:alignment="right" w:leader="none"/>
    </w:r>
    <w:r>
      <w:t xml:space="preserve">Page | </w:t>
    </w:r>
    <w:fldSimple w:instr=" PAGE   \* MERGEFORMAT ">
      <w:r w:rsidR="00B51E3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D8" w:rsidRDefault="001C5BD8">
      <w:r>
        <w:separator/>
      </w:r>
    </w:p>
  </w:footnote>
  <w:footnote w:type="continuationSeparator" w:id="0">
    <w:p w:rsidR="001C5BD8" w:rsidRDefault="001C5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D8" w:rsidRPr="0018407D" w:rsidRDefault="001C5BD8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6BD9"/>
    <w:multiLevelType w:val="hybridMultilevel"/>
    <w:tmpl w:val="4E06C4F6"/>
    <w:lvl w:ilvl="0" w:tplc="CC1271B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6CE588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65C249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AA873A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BB45C9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5A4D4D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6F4B20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77E8FE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3346575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B2868"/>
    <w:multiLevelType w:val="hybridMultilevel"/>
    <w:tmpl w:val="950EE1FE"/>
    <w:lvl w:ilvl="0" w:tplc="5D0C19DA">
      <w:start w:val="1"/>
      <w:numFmt w:val="bullet"/>
      <w:lvlText w:val=""/>
      <w:lvlJc w:val="left"/>
      <w:pPr>
        <w:ind w:left="390" w:hanging="270"/>
      </w:pPr>
      <w:rPr>
        <w:rFonts w:ascii="Symbol" w:eastAsia="Symbol" w:hAnsi="Symbol" w:hint="default"/>
        <w:sz w:val="24"/>
        <w:szCs w:val="24"/>
      </w:rPr>
    </w:lvl>
    <w:lvl w:ilvl="1" w:tplc="1CB6D724">
      <w:start w:val="1"/>
      <w:numFmt w:val="bullet"/>
      <w:lvlText w:val="o"/>
      <w:lvlJc w:val="left"/>
      <w:pPr>
        <w:ind w:left="930" w:hanging="360"/>
      </w:pPr>
      <w:rPr>
        <w:rFonts w:ascii="Courier New" w:eastAsia="Courier New" w:hAnsi="Courier New" w:hint="default"/>
        <w:sz w:val="24"/>
        <w:szCs w:val="24"/>
      </w:rPr>
    </w:lvl>
    <w:lvl w:ilvl="2" w:tplc="0014784E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BB38CFD6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EB26D640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17C8BB02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BDBA09EE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38C446E6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79B22704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11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38788A"/>
    <w:multiLevelType w:val="hybridMultilevel"/>
    <w:tmpl w:val="FBDCD090"/>
    <w:lvl w:ilvl="0" w:tplc="CC381AD0">
      <w:start w:val="1"/>
      <w:numFmt w:val="bullet"/>
      <w:lvlText w:val=""/>
      <w:lvlJc w:val="left"/>
      <w:pPr>
        <w:ind w:left="479" w:hanging="180"/>
      </w:pPr>
      <w:rPr>
        <w:rFonts w:ascii="Symbol" w:eastAsia="Symbol" w:hAnsi="Symbol" w:hint="default"/>
        <w:w w:val="100"/>
      </w:rPr>
    </w:lvl>
    <w:lvl w:ilvl="1" w:tplc="E93C43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53869ED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12A0D8A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B74E28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F7294B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0AAA83E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D610D40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496A98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6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4"/>
  </w:num>
  <w:num w:numId="14">
    <w:abstractNumId w:val="19"/>
  </w:num>
  <w:num w:numId="15">
    <w:abstractNumId w:val="24"/>
  </w:num>
  <w:num w:numId="16">
    <w:abstractNumId w:val="23"/>
  </w:num>
  <w:num w:numId="17">
    <w:abstractNumId w:val="20"/>
  </w:num>
  <w:num w:numId="18">
    <w:abstractNumId w:val="5"/>
  </w:num>
  <w:num w:numId="19">
    <w:abstractNumId w:val="4"/>
  </w:num>
  <w:num w:numId="20">
    <w:abstractNumId w:val="17"/>
  </w:num>
  <w:num w:numId="21">
    <w:abstractNumId w:val="21"/>
  </w:num>
  <w:num w:numId="22">
    <w:abstractNumId w:val="6"/>
  </w:num>
  <w:num w:numId="23">
    <w:abstractNumId w:val="12"/>
  </w:num>
  <w:num w:numId="24">
    <w:abstractNumId w:val="26"/>
  </w:num>
  <w:num w:numId="25">
    <w:abstractNumId w:val="1"/>
  </w:num>
  <w:num w:numId="26">
    <w:abstractNumId w:val="2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A95D4D"/>
    <w:rsid w:val="00002FF3"/>
    <w:rsid w:val="0000558C"/>
    <w:rsid w:val="00014508"/>
    <w:rsid w:val="00031441"/>
    <w:rsid w:val="000415BA"/>
    <w:rsid w:val="000553BE"/>
    <w:rsid w:val="00055D92"/>
    <w:rsid w:val="000560AD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B5123"/>
    <w:rsid w:val="000B572E"/>
    <w:rsid w:val="000C4B16"/>
    <w:rsid w:val="000D070D"/>
    <w:rsid w:val="000D1F24"/>
    <w:rsid w:val="000D35D0"/>
    <w:rsid w:val="000D4F61"/>
    <w:rsid w:val="000E5B5F"/>
    <w:rsid w:val="000F0B75"/>
    <w:rsid w:val="000F1E6D"/>
    <w:rsid w:val="000F5C14"/>
    <w:rsid w:val="000F7CA9"/>
    <w:rsid w:val="00117B80"/>
    <w:rsid w:val="00121138"/>
    <w:rsid w:val="00121B7E"/>
    <w:rsid w:val="00122F05"/>
    <w:rsid w:val="00131E72"/>
    <w:rsid w:val="00132DA6"/>
    <w:rsid w:val="001334FA"/>
    <w:rsid w:val="00135FF6"/>
    <w:rsid w:val="001429B9"/>
    <w:rsid w:val="00144D16"/>
    <w:rsid w:val="00146E77"/>
    <w:rsid w:val="0015207A"/>
    <w:rsid w:val="00154469"/>
    <w:rsid w:val="00156765"/>
    <w:rsid w:val="0016115E"/>
    <w:rsid w:val="00162698"/>
    <w:rsid w:val="00171600"/>
    <w:rsid w:val="00173824"/>
    <w:rsid w:val="001754E6"/>
    <w:rsid w:val="00182F2C"/>
    <w:rsid w:val="0018407D"/>
    <w:rsid w:val="00187DCC"/>
    <w:rsid w:val="0019431D"/>
    <w:rsid w:val="00196C61"/>
    <w:rsid w:val="001A0AC4"/>
    <w:rsid w:val="001B3FB3"/>
    <w:rsid w:val="001B60E9"/>
    <w:rsid w:val="001B617E"/>
    <w:rsid w:val="001B62C5"/>
    <w:rsid w:val="001C2854"/>
    <w:rsid w:val="001C5BD8"/>
    <w:rsid w:val="001D7A05"/>
    <w:rsid w:val="001E2064"/>
    <w:rsid w:val="001E6CFA"/>
    <w:rsid w:val="001F0D72"/>
    <w:rsid w:val="001F2169"/>
    <w:rsid w:val="001F5924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67A55"/>
    <w:rsid w:val="002765C4"/>
    <w:rsid w:val="002822F2"/>
    <w:rsid w:val="00285244"/>
    <w:rsid w:val="0028645C"/>
    <w:rsid w:val="00290250"/>
    <w:rsid w:val="002918B8"/>
    <w:rsid w:val="002918DC"/>
    <w:rsid w:val="002A0216"/>
    <w:rsid w:val="002A28AB"/>
    <w:rsid w:val="002A3C71"/>
    <w:rsid w:val="002A5A50"/>
    <w:rsid w:val="002A6189"/>
    <w:rsid w:val="002B00F8"/>
    <w:rsid w:val="002B31C6"/>
    <w:rsid w:val="002B4E3C"/>
    <w:rsid w:val="002D0FDA"/>
    <w:rsid w:val="002D49A9"/>
    <w:rsid w:val="002D7F0E"/>
    <w:rsid w:val="002E0238"/>
    <w:rsid w:val="002E0FD4"/>
    <w:rsid w:val="002E1B2C"/>
    <w:rsid w:val="002E4A7B"/>
    <w:rsid w:val="002E6137"/>
    <w:rsid w:val="002F2685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3127"/>
    <w:rsid w:val="00335D34"/>
    <w:rsid w:val="00341371"/>
    <w:rsid w:val="00346C63"/>
    <w:rsid w:val="00353C96"/>
    <w:rsid w:val="0035442A"/>
    <w:rsid w:val="00361DF4"/>
    <w:rsid w:val="00371C77"/>
    <w:rsid w:val="00377BB8"/>
    <w:rsid w:val="003853BD"/>
    <w:rsid w:val="00390FEC"/>
    <w:rsid w:val="003948BA"/>
    <w:rsid w:val="003A4205"/>
    <w:rsid w:val="003C044F"/>
    <w:rsid w:val="003C4800"/>
    <w:rsid w:val="003C5285"/>
    <w:rsid w:val="003D135C"/>
    <w:rsid w:val="003D1FA8"/>
    <w:rsid w:val="003D3010"/>
    <w:rsid w:val="003D56EC"/>
    <w:rsid w:val="003D6648"/>
    <w:rsid w:val="003F4F96"/>
    <w:rsid w:val="003F716E"/>
    <w:rsid w:val="00404190"/>
    <w:rsid w:val="0041696A"/>
    <w:rsid w:val="00424FB3"/>
    <w:rsid w:val="00430A97"/>
    <w:rsid w:val="00431E97"/>
    <w:rsid w:val="00452B06"/>
    <w:rsid w:val="004656AD"/>
    <w:rsid w:val="004725AA"/>
    <w:rsid w:val="00477CE2"/>
    <w:rsid w:val="00483DE1"/>
    <w:rsid w:val="0048700B"/>
    <w:rsid w:val="00494B38"/>
    <w:rsid w:val="00495B4F"/>
    <w:rsid w:val="004A02F1"/>
    <w:rsid w:val="004B48E0"/>
    <w:rsid w:val="004C7904"/>
    <w:rsid w:val="004E7188"/>
    <w:rsid w:val="00500115"/>
    <w:rsid w:val="005024A0"/>
    <w:rsid w:val="005149B6"/>
    <w:rsid w:val="00514F24"/>
    <w:rsid w:val="00531B73"/>
    <w:rsid w:val="00536C39"/>
    <w:rsid w:val="00540C18"/>
    <w:rsid w:val="0054266D"/>
    <w:rsid w:val="00545C75"/>
    <w:rsid w:val="005470FE"/>
    <w:rsid w:val="00554FD9"/>
    <w:rsid w:val="00556337"/>
    <w:rsid w:val="005603BD"/>
    <w:rsid w:val="005646A2"/>
    <w:rsid w:val="005765ED"/>
    <w:rsid w:val="0058163E"/>
    <w:rsid w:val="00583F71"/>
    <w:rsid w:val="00584305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02A1"/>
    <w:rsid w:val="00633FAB"/>
    <w:rsid w:val="006362A1"/>
    <w:rsid w:val="0064396A"/>
    <w:rsid w:val="00652C34"/>
    <w:rsid w:val="00654FE9"/>
    <w:rsid w:val="00655074"/>
    <w:rsid w:val="00655CB3"/>
    <w:rsid w:val="00656103"/>
    <w:rsid w:val="006565D7"/>
    <w:rsid w:val="00663B88"/>
    <w:rsid w:val="00670098"/>
    <w:rsid w:val="00671B0D"/>
    <w:rsid w:val="00675981"/>
    <w:rsid w:val="0068190D"/>
    <w:rsid w:val="00683C21"/>
    <w:rsid w:val="00686D19"/>
    <w:rsid w:val="00695062"/>
    <w:rsid w:val="00696899"/>
    <w:rsid w:val="006A5AB6"/>
    <w:rsid w:val="006A61DC"/>
    <w:rsid w:val="006A68A4"/>
    <w:rsid w:val="006A71BB"/>
    <w:rsid w:val="006B6ACA"/>
    <w:rsid w:val="006C6E07"/>
    <w:rsid w:val="006D62A8"/>
    <w:rsid w:val="006D76B5"/>
    <w:rsid w:val="006E13DC"/>
    <w:rsid w:val="006E4A65"/>
    <w:rsid w:val="006E6748"/>
    <w:rsid w:val="006E760F"/>
    <w:rsid w:val="006F0CBF"/>
    <w:rsid w:val="006F309E"/>
    <w:rsid w:val="007026B6"/>
    <w:rsid w:val="00706AB0"/>
    <w:rsid w:val="00707079"/>
    <w:rsid w:val="0071279B"/>
    <w:rsid w:val="00714B34"/>
    <w:rsid w:val="00716680"/>
    <w:rsid w:val="007215A9"/>
    <w:rsid w:val="00743196"/>
    <w:rsid w:val="0075799C"/>
    <w:rsid w:val="0076115A"/>
    <w:rsid w:val="0077207A"/>
    <w:rsid w:val="00772B59"/>
    <w:rsid w:val="0077381B"/>
    <w:rsid w:val="00774DD0"/>
    <w:rsid w:val="00777A50"/>
    <w:rsid w:val="00780DE2"/>
    <w:rsid w:val="00781603"/>
    <w:rsid w:val="00791E46"/>
    <w:rsid w:val="00792174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13A4"/>
    <w:rsid w:val="00813541"/>
    <w:rsid w:val="0081499F"/>
    <w:rsid w:val="008162F4"/>
    <w:rsid w:val="00835586"/>
    <w:rsid w:val="0084264E"/>
    <w:rsid w:val="00846D5A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3392"/>
    <w:rsid w:val="00905CFF"/>
    <w:rsid w:val="009154C9"/>
    <w:rsid w:val="00917A8C"/>
    <w:rsid w:val="00922E1E"/>
    <w:rsid w:val="00923857"/>
    <w:rsid w:val="009240D3"/>
    <w:rsid w:val="009323D9"/>
    <w:rsid w:val="00932AB6"/>
    <w:rsid w:val="00945B7D"/>
    <w:rsid w:val="0096103F"/>
    <w:rsid w:val="00964D02"/>
    <w:rsid w:val="00965AA8"/>
    <w:rsid w:val="009671A8"/>
    <w:rsid w:val="00972EE3"/>
    <w:rsid w:val="009823D1"/>
    <w:rsid w:val="00983D52"/>
    <w:rsid w:val="00995197"/>
    <w:rsid w:val="00995570"/>
    <w:rsid w:val="009A4226"/>
    <w:rsid w:val="009A7D6E"/>
    <w:rsid w:val="009B0F88"/>
    <w:rsid w:val="009B1018"/>
    <w:rsid w:val="009B1CB2"/>
    <w:rsid w:val="009C15AE"/>
    <w:rsid w:val="009D264B"/>
    <w:rsid w:val="009D6666"/>
    <w:rsid w:val="009E60C0"/>
    <w:rsid w:val="009E6C72"/>
    <w:rsid w:val="009F1A42"/>
    <w:rsid w:val="009F3246"/>
    <w:rsid w:val="009F54AD"/>
    <w:rsid w:val="00A00B33"/>
    <w:rsid w:val="00A169DB"/>
    <w:rsid w:val="00A22965"/>
    <w:rsid w:val="00A250B4"/>
    <w:rsid w:val="00A27B2E"/>
    <w:rsid w:val="00A40361"/>
    <w:rsid w:val="00A41CE7"/>
    <w:rsid w:val="00A42CA6"/>
    <w:rsid w:val="00A471CA"/>
    <w:rsid w:val="00A63568"/>
    <w:rsid w:val="00A73748"/>
    <w:rsid w:val="00A83B52"/>
    <w:rsid w:val="00A851D9"/>
    <w:rsid w:val="00A91530"/>
    <w:rsid w:val="00A955AE"/>
    <w:rsid w:val="00A95D4D"/>
    <w:rsid w:val="00AA242E"/>
    <w:rsid w:val="00AA4CA3"/>
    <w:rsid w:val="00AB248A"/>
    <w:rsid w:val="00AB4F98"/>
    <w:rsid w:val="00AB5D3E"/>
    <w:rsid w:val="00AB6174"/>
    <w:rsid w:val="00AD27F5"/>
    <w:rsid w:val="00AD50D3"/>
    <w:rsid w:val="00AE6489"/>
    <w:rsid w:val="00AF2E85"/>
    <w:rsid w:val="00AF4C16"/>
    <w:rsid w:val="00AF4F31"/>
    <w:rsid w:val="00B145B7"/>
    <w:rsid w:val="00B205E1"/>
    <w:rsid w:val="00B21FF8"/>
    <w:rsid w:val="00B34526"/>
    <w:rsid w:val="00B41BC6"/>
    <w:rsid w:val="00B4220C"/>
    <w:rsid w:val="00B44A4D"/>
    <w:rsid w:val="00B46122"/>
    <w:rsid w:val="00B507B4"/>
    <w:rsid w:val="00B51E3E"/>
    <w:rsid w:val="00B71883"/>
    <w:rsid w:val="00B73F5E"/>
    <w:rsid w:val="00B77BB1"/>
    <w:rsid w:val="00B822C8"/>
    <w:rsid w:val="00B84FDE"/>
    <w:rsid w:val="00B85EFF"/>
    <w:rsid w:val="00B91D0C"/>
    <w:rsid w:val="00B93758"/>
    <w:rsid w:val="00B94E5C"/>
    <w:rsid w:val="00BA041F"/>
    <w:rsid w:val="00BA51F0"/>
    <w:rsid w:val="00BB052C"/>
    <w:rsid w:val="00BB3D4F"/>
    <w:rsid w:val="00BB6C0B"/>
    <w:rsid w:val="00BB70B2"/>
    <w:rsid w:val="00BD11A0"/>
    <w:rsid w:val="00BD3501"/>
    <w:rsid w:val="00BD428E"/>
    <w:rsid w:val="00BD59DE"/>
    <w:rsid w:val="00BE147A"/>
    <w:rsid w:val="00BE181D"/>
    <w:rsid w:val="00BE6369"/>
    <w:rsid w:val="00C01ADC"/>
    <w:rsid w:val="00C03956"/>
    <w:rsid w:val="00C0542E"/>
    <w:rsid w:val="00C11F8A"/>
    <w:rsid w:val="00C16127"/>
    <w:rsid w:val="00C24307"/>
    <w:rsid w:val="00C33403"/>
    <w:rsid w:val="00C36B9A"/>
    <w:rsid w:val="00C36C9D"/>
    <w:rsid w:val="00C422D4"/>
    <w:rsid w:val="00C42F52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A7C26"/>
    <w:rsid w:val="00CB3250"/>
    <w:rsid w:val="00CB7981"/>
    <w:rsid w:val="00CC23F5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17ECD"/>
    <w:rsid w:val="00D20A20"/>
    <w:rsid w:val="00D218D8"/>
    <w:rsid w:val="00D243AF"/>
    <w:rsid w:val="00D3150F"/>
    <w:rsid w:val="00D40935"/>
    <w:rsid w:val="00D41C80"/>
    <w:rsid w:val="00D41EFC"/>
    <w:rsid w:val="00D478EF"/>
    <w:rsid w:val="00D507CC"/>
    <w:rsid w:val="00D555DA"/>
    <w:rsid w:val="00D60493"/>
    <w:rsid w:val="00D61AB5"/>
    <w:rsid w:val="00D64AC7"/>
    <w:rsid w:val="00D6580C"/>
    <w:rsid w:val="00D65A08"/>
    <w:rsid w:val="00D65DDF"/>
    <w:rsid w:val="00D668B3"/>
    <w:rsid w:val="00D70646"/>
    <w:rsid w:val="00D743C6"/>
    <w:rsid w:val="00D748A3"/>
    <w:rsid w:val="00D75A1C"/>
    <w:rsid w:val="00D825BA"/>
    <w:rsid w:val="00D87CDE"/>
    <w:rsid w:val="00D929A1"/>
    <w:rsid w:val="00D92CCD"/>
    <w:rsid w:val="00D96B65"/>
    <w:rsid w:val="00DA1347"/>
    <w:rsid w:val="00DA71E7"/>
    <w:rsid w:val="00DA7B6F"/>
    <w:rsid w:val="00DB3250"/>
    <w:rsid w:val="00DB6444"/>
    <w:rsid w:val="00DB79D4"/>
    <w:rsid w:val="00DC2F01"/>
    <w:rsid w:val="00DD4213"/>
    <w:rsid w:val="00DD50C6"/>
    <w:rsid w:val="00DD6220"/>
    <w:rsid w:val="00DE452C"/>
    <w:rsid w:val="00DF44C9"/>
    <w:rsid w:val="00E00105"/>
    <w:rsid w:val="00E02AA1"/>
    <w:rsid w:val="00E17EE0"/>
    <w:rsid w:val="00E25C7C"/>
    <w:rsid w:val="00E266C9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A101F"/>
    <w:rsid w:val="00FC577A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1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lshauscenter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4E90-642D-4C09-90CB-133D7ADD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Kara Whitman</cp:lastModifiedBy>
  <cp:revision>2</cp:revision>
  <cp:lastPrinted>2014-02-07T00:20:00Z</cp:lastPrinted>
  <dcterms:created xsi:type="dcterms:W3CDTF">2016-12-29T18:59:00Z</dcterms:created>
  <dcterms:modified xsi:type="dcterms:W3CDTF">2016-12-29T18:59:00Z</dcterms:modified>
</cp:coreProperties>
</file>