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E5" w:rsidRPr="00B73F5E" w:rsidRDefault="002650E5" w:rsidP="002650E5">
      <w:pPr>
        <w:rPr>
          <w:rFonts w:ascii="Garamond" w:hAnsi="Garamond"/>
        </w:rPr>
      </w:pPr>
    </w:p>
    <w:p w:rsidR="00290250" w:rsidRDefault="00F820E4" w:rsidP="00F820E4">
      <w:pPr>
        <w:pStyle w:val="Heading1"/>
        <w:jc w:val="right"/>
        <w:rPr>
          <w:rFonts w:ascii="Calibri" w:hAnsi="Calibri" w:cs="Calibri"/>
          <w:szCs w:val="28"/>
          <w:lang w:val="en-US"/>
        </w:rPr>
      </w:pPr>
      <w:r w:rsidRPr="00131E72">
        <w:rPr>
          <w:rFonts w:ascii="Calibri" w:hAnsi="Calibri" w:cs="Calibri"/>
          <w:szCs w:val="28"/>
          <w:lang w:val="en-US"/>
        </w:rPr>
        <w:t>Spokane River Regional Toxics Task Force</w:t>
      </w:r>
    </w:p>
    <w:p w:rsidR="00F76D9A" w:rsidRPr="00F76D9A" w:rsidRDefault="00F76D9A" w:rsidP="00F76D9A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="00E85F02">
        <w:rPr>
          <w:lang w:eastAsia="x-none"/>
        </w:rPr>
        <w:tab/>
        <w:t xml:space="preserve"> </w:t>
      </w:r>
      <w:r w:rsidR="00500115">
        <w:rPr>
          <w:lang w:eastAsia="x-none"/>
        </w:rPr>
        <w:t xml:space="preserve">   </w:t>
      </w:r>
      <w:r>
        <w:rPr>
          <w:lang w:eastAsia="x-none"/>
        </w:rPr>
        <w:t>Q</w:t>
      </w:r>
      <w:r w:rsidR="005B7A1F">
        <w:rPr>
          <w:lang w:eastAsia="x-none"/>
        </w:rPr>
        <w:t>uarterly Report (</w:t>
      </w:r>
      <w:r w:rsidR="00500115">
        <w:rPr>
          <w:lang w:eastAsia="x-none"/>
        </w:rPr>
        <w:t>10/1/13 – 12/31</w:t>
      </w:r>
      <w:r w:rsidR="005B7A1F">
        <w:rPr>
          <w:lang w:eastAsia="x-none"/>
        </w:rPr>
        <w:t>/13</w:t>
      </w:r>
      <w:r w:rsidR="006F309E">
        <w:rPr>
          <w:lang w:eastAsia="x-none"/>
        </w:rPr>
        <w:t>)</w:t>
      </w:r>
    </w:p>
    <w:p w:rsidR="0018407D" w:rsidRPr="00B73F5E" w:rsidRDefault="0018407D" w:rsidP="0018407D">
      <w:pPr>
        <w:rPr>
          <w:rFonts w:ascii="Garamond" w:hAnsi="Garamond"/>
        </w:rPr>
      </w:pPr>
    </w:p>
    <w:p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9323D9">
        <w:rPr>
          <w:rFonts w:ascii="Garamond" w:hAnsi="Garamond"/>
        </w:rPr>
        <w:t xml:space="preserve"> Chris Page</w:t>
      </w:r>
      <w:r w:rsidR="00D41EFC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Aubri </w:t>
      </w:r>
      <w:r w:rsidR="00F820E4">
        <w:rPr>
          <w:rFonts w:ascii="Garamond" w:hAnsi="Garamond"/>
        </w:rPr>
        <w:t>Denevan</w:t>
      </w:r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</w:t>
      </w:r>
      <w:proofErr w:type="spellStart"/>
      <w:r w:rsidR="00121B7E">
        <w:rPr>
          <w:rFonts w:ascii="Garamond" w:hAnsi="Garamond"/>
        </w:rPr>
        <w:t>Rajcich</w:t>
      </w:r>
      <w:proofErr w:type="spellEnd"/>
      <w:r w:rsidR="00D70646">
        <w:rPr>
          <w:rFonts w:ascii="Garamond" w:hAnsi="Garamond"/>
        </w:rPr>
        <w:t>, Budget Manager</w:t>
      </w:r>
      <w:r w:rsidR="00871107">
        <w:rPr>
          <w:rFonts w:ascii="Garamond" w:hAnsi="Garamond"/>
        </w:rPr>
        <w:t xml:space="preserve"> </w:t>
      </w:r>
    </w:p>
    <w:p w:rsidR="00F820E4" w:rsidRPr="00B73F5E" w:rsidRDefault="00F820E4">
      <w:pPr>
        <w:rPr>
          <w:rFonts w:ascii="Garamond" w:hAnsi="Garamond"/>
        </w:rPr>
      </w:pPr>
    </w:p>
    <w:p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and environmental organizations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Default="007963C2" w:rsidP="00F820E4">
      <w:pPr>
        <w:spacing w:after="120"/>
        <w:rPr>
          <w:rFonts w:ascii="Garamond" w:hAnsi="Garamond"/>
          <w:b/>
        </w:rPr>
      </w:pPr>
    </w:p>
    <w:p w:rsidR="00E85F02" w:rsidRDefault="00500115" w:rsidP="00F820E4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Q6</w:t>
      </w:r>
      <w:r w:rsidR="003F4F96">
        <w:rPr>
          <w:rFonts w:ascii="Garamond" w:hAnsi="Garamond"/>
          <w:b/>
        </w:rPr>
        <w:t xml:space="preserve"> Meeting Schedule</w:t>
      </w:r>
      <w:r w:rsidR="00290250" w:rsidRPr="00B73F5E">
        <w:rPr>
          <w:rFonts w:ascii="Garamond" w:hAnsi="Garamond"/>
          <w:b/>
        </w:rPr>
        <w:t>:</w:t>
      </w:r>
    </w:p>
    <w:p w:rsidR="003F4F96" w:rsidRPr="003F4F96" w:rsidRDefault="00DC2F01" w:rsidP="003F4F96">
      <w:pPr>
        <w:spacing w:after="120"/>
        <w:jc w:val="center"/>
        <w:rPr>
          <w:rFonts w:ascii="Garamond" w:hAnsi="Garamond"/>
        </w:rPr>
      </w:pPr>
      <w:bookmarkStart w:id="0" w:name="RANGE!A11:Z16"/>
      <w:bookmarkEnd w:id="0"/>
      <w:r w:rsidRPr="00DC2F01">
        <w:drawing>
          <wp:inline distT="0" distB="0" distL="0" distR="0">
            <wp:extent cx="42100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B8" w:rsidRPr="00B73F5E" w:rsidRDefault="00FE0CB8">
      <w:pPr>
        <w:rPr>
          <w:rFonts w:ascii="Garamond" w:hAnsi="Garamond"/>
          <w:b/>
          <w:bCs/>
        </w:rPr>
      </w:pPr>
    </w:p>
    <w:p w:rsidR="00085CE1" w:rsidRPr="00B73F5E" w:rsidRDefault="00F820E4" w:rsidP="007D7EDE">
      <w:pPr>
        <w:rPr>
          <w:rFonts w:ascii="Garamond" w:hAnsi="Garamond"/>
          <w:b/>
        </w:rPr>
      </w:pPr>
      <w:bookmarkStart w:id="1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</w:p>
    <w:bookmarkEnd w:id="1"/>
    <w:p w:rsidR="0058163E" w:rsidRDefault="00D70646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 xml:space="preserve">oject </w:t>
      </w:r>
      <w:r w:rsidR="00500115">
        <w:rPr>
          <w:rFonts w:ascii="Garamond" w:hAnsi="Garamond"/>
        </w:rPr>
        <w:t>facilitator, Chris Page</w:t>
      </w:r>
      <w:r w:rsidR="00255BC5">
        <w:rPr>
          <w:rFonts w:ascii="Garamond" w:hAnsi="Garamond"/>
        </w:rPr>
        <w:t xml:space="preserve"> </w:t>
      </w:r>
      <w:r w:rsidR="00743196">
        <w:rPr>
          <w:rFonts w:ascii="Garamond" w:hAnsi="Garamond"/>
        </w:rPr>
        <w:t>has</w:t>
      </w:r>
      <w:r w:rsidR="00983D52">
        <w:rPr>
          <w:rFonts w:ascii="Garamond" w:hAnsi="Garamond"/>
        </w:rPr>
        <w:t xml:space="preserve"> </w:t>
      </w:r>
      <w:r w:rsidR="006A71BB">
        <w:rPr>
          <w:rFonts w:ascii="Garamond" w:hAnsi="Garamond"/>
        </w:rPr>
        <w:t>develop</w:t>
      </w:r>
      <w:r w:rsidR="00983D52">
        <w:rPr>
          <w:rFonts w:ascii="Garamond" w:hAnsi="Garamond"/>
        </w:rPr>
        <w:t xml:space="preserve">ed meeting agendas </w:t>
      </w:r>
      <w:r w:rsidR="006F309E">
        <w:rPr>
          <w:rFonts w:ascii="Garamond" w:hAnsi="Garamond"/>
        </w:rPr>
        <w:t>and facilitated</w:t>
      </w:r>
      <w:r w:rsidR="00500115">
        <w:rPr>
          <w:rFonts w:ascii="Garamond" w:hAnsi="Garamond"/>
        </w:rPr>
        <w:t xml:space="preserve"> nine meetings, including three</w:t>
      </w:r>
      <w:r w:rsidR="00743196">
        <w:rPr>
          <w:rFonts w:ascii="Garamond" w:hAnsi="Garamond"/>
        </w:rPr>
        <w:t xml:space="preserve"> Task </w:t>
      </w:r>
      <w:r w:rsidR="00F76D9A">
        <w:rPr>
          <w:rFonts w:ascii="Garamond" w:hAnsi="Garamond"/>
        </w:rPr>
        <w:t>Force meetings</w:t>
      </w:r>
      <w:r w:rsidR="003F4F96">
        <w:rPr>
          <w:rFonts w:ascii="Garamond" w:hAnsi="Garamond"/>
        </w:rPr>
        <w:t>,</w:t>
      </w:r>
      <w:r w:rsidR="005B7A1F">
        <w:rPr>
          <w:rFonts w:ascii="Garamond" w:hAnsi="Garamond"/>
        </w:rPr>
        <w:t xml:space="preserve"> </w:t>
      </w:r>
      <w:r w:rsidR="00500115">
        <w:rPr>
          <w:rFonts w:ascii="Garamond" w:hAnsi="Garamond"/>
        </w:rPr>
        <w:t>four</w:t>
      </w:r>
      <w:r w:rsidR="00871107">
        <w:rPr>
          <w:rFonts w:ascii="Garamond" w:hAnsi="Garamond"/>
        </w:rPr>
        <w:t xml:space="preserve"> </w:t>
      </w:r>
      <w:r w:rsidR="005B7A1F">
        <w:rPr>
          <w:rFonts w:ascii="Garamond" w:hAnsi="Garamond"/>
        </w:rPr>
        <w:t>Technical Track Work Group</w:t>
      </w:r>
      <w:r w:rsidR="00871107">
        <w:rPr>
          <w:rFonts w:ascii="Garamond" w:hAnsi="Garamond"/>
        </w:rPr>
        <w:t xml:space="preserve"> meetings</w:t>
      </w:r>
      <w:r w:rsidR="005B7A1F">
        <w:rPr>
          <w:rFonts w:ascii="Garamond" w:hAnsi="Garamond"/>
        </w:rPr>
        <w:t>,</w:t>
      </w:r>
      <w:r w:rsidR="00500115">
        <w:rPr>
          <w:rFonts w:ascii="Garamond" w:hAnsi="Garamond"/>
        </w:rPr>
        <w:t xml:space="preserve"> one</w:t>
      </w:r>
      <w:r w:rsidR="003F4F96">
        <w:rPr>
          <w:rFonts w:ascii="Garamond" w:hAnsi="Garamond"/>
        </w:rPr>
        <w:t xml:space="preserve"> Funding Work Group</w:t>
      </w:r>
      <w:r w:rsidR="00500115">
        <w:rPr>
          <w:rFonts w:ascii="Garamond" w:hAnsi="Garamond"/>
        </w:rPr>
        <w:t xml:space="preserve"> meeting, and a two day Monitoring Workshop</w:t>
      </w:r>
      <w:r w:rsidR="0058163E">
        <w:rPr>
          <w:rFonts w:ascii="Garamond" w:hAnsi="Garamond"/>
        </w:rPr>
        <w:t xml:space="preserve">. </w:t>
      </w:r>
      <w:r w:rsidR="00983D52">
        <w:rPr>
          <w:rFonts w:ascii="Garamond" w:hAnsi="Garamond"/>
        </w:rPr>
        <w:t xml:space="preserve">Meeting notices, </w:t>
      </w:r>
      <w:r w:rsidR="00F76D9A">
        <w:rPr>
          <w:rFonts w:ascii="Garamond" w:hAnsi="Garamond"/>
        </w:rPr>
        <w:t>agendas and materials</w:t>
      </w:r>
      <w:r w:rsidR="003F4F96">
        <w:rPr>
          <w:rFonts w:ascii="Garamond" w:hAnsi="Garamond"/>
        </w:rPr>
        <w:t>, and summaries 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 Aubri</w:t>
      </w:r>
      <w:r w:rsidR="00A73748">
        <w:rPr>
          <w:rFonts w:ascii="Garamond" w:hAnsi="Garamond"/>
        </w:rPr>
        <w:t xml:space="preserve"> Denevan</w:t>
      </w:r>
      <w:r w:rsidR="00F76D9A">
        <w:rPr>
          <w:rFonts w:ascii="Garamond" w:hAnsi="Garamond"/>
        </w:rPr>
        <w:t>.</w:t>
      </w:r>
    </w:p>
    <w:p w:rsidR="00D41EFC" w:rsidRDefault="00D41EFC" w:rsidP="003F4F96">
      <w:pPr>
        <w:ind w:left="720"/>
        <w:rPr>
          <w:rFonts w:ascii="Garamond" w:hAnsi="Garamond"/>
        </w:rPr>
      </w:pPr>
    </w:p>
    <w:p w:rsidR="00DB3250" w:rsidRDefault="00500115" w:rsidP="003F4F96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2013 Monitoring Workshop</w:t>
      </w:r>
      <w:r w:rsidR="00D70646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EC073F" w:rsidRPr="00EC073F">
        <w:rPr>
          <w:rFonts w:ascii="Garamond" w:hAnsi="Garamond"/>
          <w:i/>
        </w:rPr>
        <w:t xml:space="preserve">The bulk of the Center’s work this quarter was focused on the </w:t>
      </w:r>
      <w:r w:rsidR="00EC073F">
        <w:rPr>
          <w:rFonts w:ascii="Garamond" w:hAnsi="Garamond"/>
          <w:i/>
        </w:rPr>
        <w:t xml:space="preserve">planning and execution of the </w:t>
      </w:r>
      <w:r w:rsidR="00EC073F" w:rsidRPr="00EC073F">
        <w:rPr>
          <w:rFonts w:ascii="Garamond" w:hAnsi="Garamond"/>
          <w:i/>
        </w:rPr>
        <w:t>Monitoring Workshop.</w:t>
      </w:r>
      <w:r w:rsidR="00EC073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Center </w:t>
      </w:r>
      <w:r w:rsidR="00EC073F">
        <w:rPr>
          <w:rFonts w:ascii="Garamond" w:hAnsi="Garamond"/>
        </w:rPr>
        <w:t>in collaboration</w:t>
      </w:r>
      <w:r>
        <w:rPr>
          <w:rFonts w:ascii="Garamond" w:hAnsi="Garamond"/>
        </w:rPr>
        <w:t xml:space="preserve"> with the Technical Track Work Group</w:t>
      </w:r>
      <w:r w:rsidR="00EC073F">
        <w:rPr>
          <w:rFonts w:ascii="Garamond" w:hAnsi="Garamond"/>
        </w:rPr>
        <w:t xml:space="preserve"> planned</w:t>
      </w:r>
      <w:r>
        <w:rPr>
          <w:rFonts w:ascii="Garamond" w:hAnsi="Garamond"/>
        </w:rPr>
        <w:t xml:space="preserve"> the 2013 Monitoring Workshop</w:t>
      </w:r>
      <w:r w:rsidR="00EC073F">
        <w:rPr>
          <w:rFonts w:ascii="Garamond" w:hAnsi="Garamond"/>
        </w:rPr>
        <w:t xml:space="preserve"> on Dec. 4 &amp; 5, 2013</w:t>
      </w:r>
      <w:r>
        <w:rPr>
          <w:rFonts w:ascii="Garamond" w:hAnsi="Garamond"/>
        </w:rPr>
        <w:t xml:space="preserve">. The purpose of the workshop was to provide a forum for the open exchange of information on the goals for and the design of a comprehensive monitoring plan for establishing the current state of PCBs in the Spokane River Watershed. </w:t>
      </w:r>
      <w:r w:rsidR="00EC073F">
        <w:rPr>
          <w:rFonts w:ascii="Garamond" w:hAnsi="Garamond"/>
        </w:rPr>
        <w:t>Chris Page facilitated several additional Technical Track Work Group meetings, as well as the Workshop itself</w:t>
      </w:r>
      <w:r w:rsidR="006A71BB">
        <w:rPr>
          <w:rFonts w:ascii="Garamond" w:hAnsi="Garamond"/>
        </w:rPr>
        <w:t>, and recruited Dr. Joel Baker to attend as an expert to inform the Task Force from his experience with PCBs</w:t>
      </w:r>
      <w:r w:rsidR="00EC073F">
        <w:rPr>
          <w:rFonts w:ascii="Garamond" w:hAnsi="Garamond"/>
        </w:rPr>
        <w:t xml:space="preserve">. Aubri Denevan oversaw the logistical planning needs, such as venue, meeting materials, timeline, and an extensive meeting summary. </w:t>
      </w:r>
    </w:p>
    <w:p w:rsidR="003F4F96" w:rsidRDefault="003F4F96" w:rsidP="003F4F96">
      <w:pPr>
        <w:rPr>
          <w:rFonts w:ascii="Garamond" w:hAnsi="Garamond"/>
        </w:rPr>
      </w:pPr>
    </w:p>
    <w:p w:rsidR="00AB6174" w:rsidRDefault="00D70646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D41EFC">
        <w:rPr>
          <w:rFonts w:ascii="Garamond" w:hAnsi="Garamond"/>
        </w:rPr>
        <w:t>Aubri</w:t>
      </w:r>
      <w:r w:rsidR="00983D52">
        <w:rPr>
          <w:rFonts w:ascii="Garamond" w:hAnsi="Garamond"/>
        </w:rPr>
        <w:t xml:space="preserve"> Denevan 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430A97">
        <w:rPr>
          <w:rFonts w:ascii="Garamond" w:hAnsi="Garamond"/>
        </w:rPr>
        <w:t>or the nine</w:t>
      </w:r>
      <w:bookmarkStart w:id="2" w:name="_GoBack"/>
      <w:bookmarkEnd w:id="2"/>
      <w:r w:rsidR="00983D52">
        <w:rPr>
          <w:rFonts w:ascii="Garamond" w:hAnsi="Garamond"/>
        </w:rPr>
        <w:t xml:space="preserve"> 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>his included 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>, and meeting summaries</w:t>
      </w:r>
      <w:r w:rsidR="00983D52">
        <w:rPr>
          <w:rFonts w:ascii="Garamond" w:hAnsi="Garamond"/>
        </w:rPr>
        <w:t>.</w:t>
      </w:r>
    </w:p>
    <w:p w:rsidR="006A71BB" w:rsidRDefault="006A71BB" w:rsidP="006A71BB">
      <w:pPr>
        <w:pStyle w:val="ListParagraph"/>
        <w:rPr>
          <w:rFonts w:ascii="Garamond" w:hAnsi="Garamond"/>
        </w:rPr>
      </w:pPr>
    </w:p>
    <w:p w:rsidR="00C01ADC" w:rsidRDefault="00AB6174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Identifying Future Funding Sources: </w:t>
      </w:r>
      <w:r w:rsidR="00494B38">
        <w:rPr>
          <w:rFonts w:ascii="Garamond" w:hAnsi="Garamond"/>
        </w:rPr>
        <w:t xml:space="preserve">The Task Force submitted several proposals to the Department of Ecology’s Environmental Assessment Program for 2014. Those include: 1) </w:t>
      </w:r>
      <w:r w:rsidR="00494B38" w:rsidRPr="00494B38">
        <w:rPr>
          <w:rFonts w:ascii="Garamond" w:hAnsi="Garamond"/>
        </w:rPr>
        <w:t>Sampling Activities for Spokane River Synoptic Studies</w:t>
      </w:r>
      <w:r w:rsidR="00494B38">
        <w:rPr>
          <w:rFonts w:ascii="Garamond" w:hAnsi="Garamond"/>
        </w:rPr>
        <w:t xml:space="preserve">; 2) </w:t>
      </w:r>
      <w:r w:rsidR="00494B38" w:rsidRPr="00494B38">
        <w:rPr>
          <w:rFonts w:ascii="Garamond" w:hAnsi="Garamond"/>
        </w:rPr>
        <w:t>Spokane River Water Quality Monitoring Long Term Trends Analysis</w:t>
      </w:r>
      <w:r w:rsidR="00494B38">
        <w:rPr>
          <w:rFonts w:ascii="Garamond" w:hAnsi="Garamond"/>
        </w:rPr>
        <w:t xml:space="preserve">; 3) </w:t>
      </w:r>
      <w:r w:rsidR="00494B38" w:rsidRPr="00494B38">
        <w:rPr>
          <w:rFonts w:ascii="Garamond" w:hAnsi="Garamond"/>
        </w:rPr>
        <w:t>Wet and Dry Deposition of PCB in the Spokane River Watershed</w:t>
      </w:r>
      <w:r w:rsidR="00494B38">
        <w:rPr>
          <w:rFonts w:ascii="Garamond" w:hAnsi="Garamond"/>
        </w:rPr>
        <w:t xml:space="preserve">; 4) </w:t>
      </w:r>
      <w:r w:rsidR="00494B38" w:rsidRPr="00494B38">
        <w:rPr>
          <w:rFonts w:ascii="Garamond" w:hAnsi="Garamond"/>
        </w:rPr>
        <w:t>Seasonal Variability in Spokane River Headwaters PCB Loading</w:t>
      </w:r>
      <w:r w:rsidR="00494B38">
        <w:rPr>
          <w:rFonts w:ascii="Garamond" w:hAnsi="Garamond"/>
        </w:rPr>
        <w:t xml:space="preserve">; and 5) </w:t>
      </w:r>
      <w:r w:rsidR="00494B38" w:rsidRPr="00494B38">
        <w:rPr>
          <w:rFonts w:ascii="Garamond" w:hAnsi="Garamond"/>
        </w:rPr>
        <w:t>Assessment of PCB Concentrations in Spokane Valley Groundwater</w:t>
      </w:r>
      <w:r w:rsidR="00494B38">
        <w:rPr>
          <w:rFonts w:ascii="Garamond" w:hAnsi="Garamond"/>
        </w:rPr>
        <w:t xml:space="preserve">. </w:t>
      </w:r>
    </w:p>
    <w:p w:rsidR="00C01ADC" w:rsidRDefault="00C01ADC" w:rsidP="00C01ADC">
      <w:pPr>
        <w:pStyle w:val="ListParagraph"/>
        <w:rPr>
          <w:rFonts w:ascii="Garamond" w:hAnsi="Garamond"/>
        </w:rPr>
      </w:pPr>
    </w:p>
    <w:p w:rsidR="00AB6174" w:rsidRPr="00E74E6F" w:rsidRDefault="00C01ADC" w:rsidP="00AB617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Technical Advisor: </w:t>
      </w:r>
      <w:r>
        <w:rPr>
          <w:rFonts w:ascii="Garamond" w:hAnsi="Garamond"/>
        </w:rPr>
        <w:t xml:space="preserve">The Task Force worked with the Technical Advisor, </w:t>
      </w:r>
      <w:proofErr w:type="spellStart"/>
      <w:r>
        <w:rPr>
          <w:rFonts w:ascii="Garamond" w:hAnsi="Garamond"/>
        </w:rPr>
        <w:t>Limno</w:t>
      </w:r>
      <w:proofErr w:type="spellEnd"/>
      <w:r w:rsidR="00EC073F">
        <w:rPr>
          <w:rFonts w:ascii="Garamond" w:hAnsi="Garamond"/>
        </w:rPr>
        <w:t xml:space="preserve"> Tech, to complete Tasks 7-8</w:t>
      </w:r>
      <w:r>
        <w:rPr>
          <w:rFonts w:ascii="Garamond" w:hAnsi="Garamond"/>
        </w:rPr>
        <w:t xml:space="preserve">. </w:t>
      </w:r>
      <w:r w:rsidR="00AB6174">
        <w:rPr>
          <w:rFonts w:ascii="Garamond" w:hAnsi="Garamond"/>
        </w:rPr>
        <w:t xml:space="preserve"> </w:t>
      </w:r>
    </w:p>
    <w:p w:rsidR="00085CE1" w:rsidRPr="00346C63" w:rsidRDefault="00AB6174" w:rsidP="00346C63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:rsidR="00085CE1" w:rsidRPr="00B73F5E" w:rsidRDefault="00085CE1" w:rsidP="00AD50D3">
      <w:pPr>
        <w:rPr>
          <w:rFonts w:ascii="Garamond" w:hAnsi="Garamond"/>
          <w:b/>
        </w:rPr>
      </w:pPr>
    </w:p>
    <w:p w:rsidR="0058163E" w:rsidRDefault="0058163E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two work groups will continue to meet on a monthly basis. </w:t>
      </w:r>
    </w:p>
    <w:p w:rsidR="00494B38" w:rsidRDefault="00346C63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will continue to work with the </w:t>
      </w:r>
      <w:r w:rsidR="00AB6174">
        <w:rPr>
          <w:rFonts w:ascii="Garamond" w:hAnsi="Garamond"/>
        </w:rPr>
        <w:t>Technical Consultant</w:t>
      </w:r>
      <w:r>
        <w:rPr>
          <w:rFonts w:ascii="Garamond" w:hAnsi="Garamond"/>
        </w:rPr>
        <w:t xml:space="preserve"> on completing their assigned tasks</w:t>
      </w:r>
      <w:r w:rsidR="00AB6174">
        <w:rPr>
          <w:rFonts w:ascii="Garamond" w:hAnsi="Garamond"/>
        </w:rPr>
        <w:t>.</w:t>
      </w:r>
    </w:p>
    <w:p w:rsidR="00AB6174" w:rsidRDefault="00494B38" w:rsidP="00494B38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 xml:space="preserve">EPA and the Idaho parties plan to join the Task Force formally in early </w:t>
      </w:r>
      <w:r w:rsidR="006A71BB">
        <w:rPr>
          <w:rFonts w:ascii="Garamond" w:hAnsi="Garamond"/>
        </w:rPr>
        <w:t>to mid-</w:t>
      </w:r>
      <w:r w:rsidRPr="00494B38">
        <w:rPr>
          <w:rFonts w:ascii="Garamond" w:hAnsi="Garamond"/>
        </w:rPr>
        <w:t>2014 (after Idaho discharger permits are finalized).</w:t>
      </w:r>
      <w:r w:rsidR="006A71BB">
        <w:rPr>
          <w:rFonts w:ascii="Garamond" w:hAnsi="Garamond"/>
        </w:rPr>
        <w:t xml:space="preserve"> The Center will facilitate the Task Force’s consideration of, and agreement on, needed changes to the group’s Memorandum of Agreement.</w:t>
      </w:r>
    </w:p>
    <w:p w:rsidR="00494B38" w:rsidRPr="00494B38" w:rsidRDefault="00494B38" w:rsidP="00494B38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>With the Center’s fa</w:t>
      </w:r>
      <w:r>
        <w:rPr>
          <w:rFonts w:ascii="Garamond" w:hAnsi="Garamond"/>
        </w:rPr>
        <w:t>cilitation, Ecology will</w:t>
      </w:r>
      <w:r w:rsidRPr="00494B38">
        <w:rPr>
          <w:rFonts w:ascii="Garamond" w:hAnsi="Garamond"/>
        </w:rPr>
        <w:t xml:space="preserve"> incor</w:t>
      </w:r>
      <w:r>
        <w:rPr>
          <w:rFonts w:ascii="Garamond" w:hAnsi="Garamond"/>
        </w:rPr>
        <w:t>porate Task Force input</w:t>
      </w:r>
      <w:r w:rsidRPr="00494B38">
        <w:rPr>
          <w:rFonts w:ascii="Garamond" w:hAnsi="Garamond"/>
        </w:rPr>
        <w:t xml:space="preserve"> in defining the term “measurable progress” for this work to reduce PCBs within the Spokane River.</w:t>
      </w: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10" w:history="1">
        <w:r>
          <w:rPr>
            <w:rStyle w:val="Hyperlink"/>
          </w:rPr>
          <w:t>ruckelshauscenter@wsu.edu</w:t>
        </w:r>
      </w:hyperlink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  <w:sectPr w:rsidR="000D35D0" w:rsidSect="009323D9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Seattle Office: </w:t>
      </w:r>
      <w:r>
        <w:rPr>
          <w:b/>
          <w:bCs/>
        </w:rPr>
        <w:br/>
      </w:r>
      <w:r>
        <w:t>901 - 5th Ave</w:t>
      </w:r>
      <w:r w:rsidR="00556337">
        <w:t>nue, Suite 2900</w:t>
      </w:r>
      <w:r w:rsidR="00556337">
        <w:br/>
        <w:t>Seattle, WA 98164</w:t>
      </w:r>
      <w:r>
        <w:t>-2040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>Phone: (206) 428-3021</w:t>
      </w:r>
      <w:r>
        <w:br/>
        <w:t>Fax: (206) 448-1334</w:t>
      </w: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Pullman Office: </w:t>
      </w:r>
      <w:r>
        <w:br/>
        <w:t xml:space="preserve">P.O. Box 646248 </w:t>
      </w:r>
      <w:r>
        <w:br/>
        <w:t xml:space="preserve">Pullman, WA 99164-6248 </w:t>
      </w:r>
    </w:p>
    <w:p w:rsidR="000D35D0" w:rsidRPr="00AB6174" w:rsidRDefault="000D35D0" w:rsidP="00AB6174">
      <w:pPr>
        <w:pStyle w:val="NormalWeb"/>
        <w:spacing w:before="0" w:beforeAutospacing="0" w:after="0" w:afterAutospacing="0"/>
        <w:sectPr w:rsidR="000D35D0" w:rsidRPr="00AB6174" w:rsidSect="000D35D0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  <w:r>
        <w:t>Phone: (50</w:t>
      </w:r>
      <w:r w:rsidR="00AB6174">
        <w:t>9) 335-2937</w:t>
      </w:r>
      <w:r w:rsidR="00AB6174">
        <w:br/>
        <w:t>Fax: (509) 335-2926</w:t>
      </w:r>
    </w:p>
    <w:p w:rsidR="000D35D0" w:rsidRPr="00B73F5E" w:rsidRDefault="000D35D0" w:rsidP="00304FDF">
      <w:pPr>
        <w:pStyle w:val="NoSpacing"/>
        <w:rPr>
          <w:rFonts w:ascii="Garamond" w:hAnsi="Garamond"/>
        </w:rPr>
      </w:pPr>
    </w:p>
    <w:sectPr w:rsidR="000D35D0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6D" w:rsidRDefault="000F1E6D">
      <w:r>
        <w:separator/>
      </w:r>
    </w:p>
  </w:endnote>
  <w:endnote w:type="continuationSeparator" w:id="0">
    <w:p w:rsidR="000F1E6D" w:rsidRDefault="000F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Default="009D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129" w:rsidRDefault="00064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0" w:rsidRDefault="000D35D0">
    <w:pPr>
      <w:pStyle w:val="Footer"/>
    </w:pPr>
    <w:r>
      <w:t>Quarterly Report</w:t>
    </w:r>
    <w:r>
      <w:ptab w:relativeTo="margin" w:alignment="center" w:leader="none"/>
    </w:r>
    <w:r>
      <w:t>Prepared by: Aubri Denevan</w:t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30A9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Default="000D35D0">
    <w:pPr>
      <w:pStyle w:val="Footer"/>
    </w:pPr>
    <w:r>
      <w:t>Quarterly Report</w:t>
    </w:r>
    <w:r>
      <w:ptab w:relativeTo="margin" w:alignment="center" w:leader="none"/>
    </w:r>
    <w:r>
      <w:t>Prepared by: Aubri Denevan</w:t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30A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6D" w:rsidRDefault="000F1E6D">
      <w:r>
        <w:separator/>
      </w:r>
    </w:p>
  </w:footnote>
  <w:footnote w:type="continuationSeparator" w:id="0">
    <w:p w:rsidR="000F1E6D" w:rsidRDefault="000F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Pr="0018407D" w:rsidRDefault="00500115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4425B39" wp14:editId="10B2886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D"/>
    <w:rsid w:val="00002FF3"/>
    <w:rsid w:val="0000558C"/>
    <w:rsid w:val="000415BA"/>
    <w:rsid w:val="000553BE"/>
    <w:rsid w:val="00055D92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C4B16"/>
    <w:rsid w:val="000D070D"/>
    <w:rsid w:val="000D35D0"/>
    <w:rsid w:val="000F1E6D"/>
    <w:rsid w:val="000F7CA9"/>
    <w:rsid w:val="00121138"/>
    <w:rsid w:val="00121B7E"/>
    <w:rsid w:val="00122F05"/>
    <w:rsid w:val="00131E72"/>
    <w:rsid w:val="001334FA"/>
    <w:rsid w:val="001429B9"/>
    <w:rsid w:val="0015207A"/>
    <w:rsid w:val="00154469"/>
    <w:rsid w:val="0016115E"/>
    <w:rsid w:val="00162698"/>
    <w:rsid w:val="00171600"/>
    <w:rsid w:val="00173824"/>
    <w:rsid w:val="001754E6"/>
    <w:rsid w:val="0018407D"/>
    <w:rsid w:val="0019431D"/>
    <w:rsid w:val="00196C61"/>
    <w:rsid w:val="001A0AC4"/>
    <w:rsid w:val="001B3FB3"/>
    <w:rsid w:val="001B60E9"/>
    <w:rsid w:val="001B617E"/>
    <w:rsid w:val="001D7A05"/>
    <w:rsid w:val="001E6CFA"/>
    <w:rsid w:val="001F2169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50E5"/>
    <w:rsid w:val="002822F2"/>
    <w:rsid w:val="0028645C"/>
    <w:rsid w:val="00290250"/>
    <w:rsid w:val="002A0216"/>
    <w:rsid w:val="002A28AB"/>
    <w:rsid w:val="002A3C71"/>
    <w:rsid w:val="002A5A50"/>
    <w:rsid w:val="002B00F8"/>
    <w:rsid w:val="002D0FDA"/>
    <w:rsid w:val="002D49A9"/>
    <w:rsid w:val="002E0238"/>
    <w:rsid w:val="002E0FD4"/>
    <w:rsid w:val="002E1B2C"/>
    <w:rsid w:val="002E6137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C044F"/>
    <w:rsid w:val="003C4800"/>
    <w:rsid w:val="003D1FA8"/>
    <w:rsid w:val="003D3010"/>
    <w:rsid w:val="003D56EC"/>
    <w:rsid w:val="003F4F96"/>
    <w:rsid w:val="003F716E"/>
    <w:rsid w:val="00404190"/>
    <w:rsid w:val="0041696A"/>
    <w:rsid w:val="00430A97"/>
    <w:rsid w:val="00431E97"/>
    <w:rsid w:val="004656AD"/>
    <w:rsid w:val="004725AA"/>
    <w:rsid w:val="00477CE2"/>
    <w:rsid w:val="00483DE1"/>
    <w:rsid w:val="00494B38"/>
    <w:rsid w:val="004B48E0"/>
    <w:rsid w:val="004C7904"/>
    <w:rsid w:val="004E7188"/>
    <w:rsid w:val="00500115"/>
    <w:rsid w:val="005024A0"/>
    <w:rsid w:val="00536C39"/>
    <w:rsid w:val="00540C18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62E3"/>
    <w:rsid w:val="006362A1"/>
    <w:rsid w:val="00652C34"/>
    <w:rsid w:val="00654FE9"/>
    <w:rsid w:val="00655CB3"/>
    <w:rsid w:val="006565D7"/>
    <w:rsid w:val="00671B0D"/>
    <w:rsid w:val="00675981"/>
    <w:rsid w:val="00683C21"/>
    <w:rsid w:val="00695062"/>
    <w:rsid w:val="00696899"/>
    <w:rsid w:val="006A5AB6"/>
    <w:rsid w:val="006A61DC"/>
    <w:rsid w:val="006A71BB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6680"/>
    <w:rsid w:val="007215A9"/>
    <w:rsid w:val="00743196"/>
    <w:rsid w:val="0077207A"/>
    <w:rsid w:val="00772B59"/>
    <w:rsid w:val="00774DD0"/>
    <w:rsid w:val="00777A50"/>
    <w:rsid w:val="007963C2"/>
    <w:rsid w:val="007D1A6D"/>
    <w:rsid w:val="007D7DF5"/>
    <w:rsid w:val="007D7EDE"/>
    <w:rsid w:val="00801FD3"/>
    <w:rsid w:val="00803387"/>
    <w:rsid w:val="0080739B"/>
    <w:rsid w:val="008105D2"/>
    <w:rsid w:val="00813541"/>
    <w:rsid w:val="008162F4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6103F"/>
    <w:rsid w:val="00964D02"/>
    <w:rsid w:val="00965AA8"/>
    <w:rsid w:val="00972EE3"/>
    <w:rsid w:val="009823D1"/>
    <w:rsid w:val="00983D52"/>
    <w:rsid w:val="00995197"/>
    <w:rsid w:val="009A7D6E"/>
    <w:rsid w:val="009B0F88"/>
    <w:rsid w:val="009B1018"/>
    <w:rsid w:val="009C15AE"/>
    <w:rsid w:val="009D6666"/>
    <w:rsid w:val="009F1A42"/>
    <w:rsid w:val="009F3246"/>
    <w:rsid w:val="009F54AD"/>
    <w:rsid w:val="00A169DB"/>
    <w:rsid w:val="00A250B4"/>
    <w:rsid w:val="00A27B2E"/>
    <w:rsid w:val="00A41CE7"/>
    <w:rsid w:val="00A471CA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B145B7"/>
    <w:rsid w:val="00B21FF8"/>
    <w:rsid w:val="00B34526"/>
    <w:rsid w:val="00B41BC6"/>
    <w:rsid w:val="00B4220C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A041F"/>
    <w:rsid w:val="00BA51F0"/>
    <w:rsid w:val="00BB052C"/>
    <w:rsid w:val="00BB3D4F"/>
    <w:rsid w:val="00BD11A0"/>
    <w:rsid w:val="00BD3501"/>
    <w:rsid w:val="00BD428E"/>
    <w:rsid w:val="00BE147A"/>
    <w:rsid w:val="00BE6369"/>
    <w:rsid w:val="00C01ADC"/>
    <w:rsid w:val="00C0542E"/>
    <w:rsid w:val="00C422D4"/>
    <w:rsid w:val="00C443D5"/>
    <w:rsid w:val="00C4467D"/>
    <w:rsid w:val="00C506CC"/>
    <w:rsid w:val="00C60049"/>
    <w:rsid w:val="00C67A01"/>
    <w:rsid w:val="00C773AE"/>
    <w:rsid w:val="00C826F3"/>
    <w:rsid w:val="00C94C63"/>
    <w:rsid w:val="00CC6E87"/>
    <w:rsid w:val="00CD5B93"/>
    <w:rsid w:val="00CD6BD4"/>
    <w:rsid w:val="00CD6E7C"/>
    <w:rsid w:val="00D03018"/>
    <w:rsid w:val="00D037B7"/>
    <w:rsid w:val="00D12C24"/>
    <w:rsid w:val="00D20A20"/>
    <w:rsid w:val="00D243AF"/>
    <w:rsid w:val="00D41EFC"/>
    <w:rsid w:val="00D478EF"/>
    <w:rsid w:val="00D64AC7"/>
    <w:rsid w:val="00D65A08"/>
    <w:rsid w:val="00D65DDF"/>
    <w:rsid w:val="00D668B3"/>
    <w:rsid w:val="00D70646"/>
    <w:rsid w:val="00D743C6"/>
    <w:rsid w:val="00D748A3"/>
    <w:rsid w:val="00D75A1C"/>
    <w:rsid w:val="00D929A1"/>
    <w:rsid w:val="00D92CCD"/>
    <w:rsid w:val="00D96B65"/>
    <w:rsid w:val="00DA1347"/>
    <w:rsid w:val="00DA7B6F"/>
    <w:rsid w:val="00DB3250"/>
    <w:rsid w:val="00DB79D4"/>
    <w:rsid w:val="00DC2F01"/>
    <w:rsid w:val="00DD4213"/>
    <w:rsid w:val="00DE452C"/>
    <w:rsid w:val="00DF44C9"/>
    <w:rsid w:val="00E02AA1"/>
    <w:rsid w:val="00E17EE0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6D9A"/>
    <w:rsid w:val="00F8202F"/>
    <w:rsid w:val="00F820E4"/>
    <w:rsid w:val="00F95C53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ckelshauscenter@w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4523-0A94-4CAA-9A9B-5AD47EC3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Denevan, Aubri</cp:lastModifiedBy>
  <cp:revision>3</cp:revision>
  <cp:lastPrinted>2014-02-07T00:20:00Z</cp:lastPrinted>
  <dcterms:created xsi:type="dcterms:W3CDTF">2014-02-07T00:18:00Z</dcterms:created>
  <dcterms:modified xsi:type="dcterms:W3CDTF">2014-02-07T18:24:00Z</dcterms:modified>
</cp:coreProperties>
</file>