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52" w:rsidRPr="00A550FE" w:rsidRDefault="000C5E3E" w:rsidP="00A550FE">
      <w:pPr>
        <w:spacing w:line="240" w:lineRule="auto"/>
        <w:jc w:val="center"/>
        <w:rPr>
          <w:rFonts w:cstheme="minorHAnsi"/>
          <w:b/>
        </w:rPr>
      </w:pPr>
      <w:r w:rsidRPr="00A550FE">
        <w:rPr>
          <w:rFonts w:cstheme="minorHAnsi"/>
          <w:b/>
        </w:rPr>
        <w:t xml:space="preserve">Spokane River Regional Toxics Task Force </w:t>
      </w:r>
    </w:p>
    <w:p w:rsidR="00166552" w:rsidRPr="00A550FE" w:rsidRDefault="000C5E3E" w:rsidP="00A550FE">
      <w:pPr>
        <w:spacing w:line="240" w:lineRule="auto"/>
        <w:jc w:val="center"/>
        <w:rPr>
          <w:rFonts w:cstheme="minorHAnsi"/>
          <w:b/>
        </w:rPr>
      </w:pPr>
      <w:r w:rsidRPr="00A550FE">
        <w:rPr>
          <w:rFonts w:cstheme="minorHAnsi"/>
          <w:b/>
        </w:rPr>
        <w:t>Comprehensive Plan</w:t>
      </w:r>
      <w:r w:rsidR="00166552" w:rsidRPr="00A550FE">
        <w:rPr>
          <w:rFonts w:cstheme="minorHAnsi"/>
          <w:b/>
        </w:rPr>
        <w:t xml:space="preserve"> </w:t>
      </w:r>
      <w:r w:rsidR="00F36ADC" w:rsidRPr="00A550FE">
        <w:rPr>
          <w:rFonts w:cstheme="minorHAnsi"/>
          <w:b/>
        </w:rPr>
        <w:t xml:space="preserve">Annual </w:t>
      </w:r>
      <w:r w:rsidR="00BE739E" w:rsidRPr="00A550FE">
        <w:rPr>
          <w:rFonts w:cstheme="minorHAnsi"/>
          <w:b/>
        </w:rPr>
        <w:t xml:space="preserve">Implementation </w:t>
      </w:r>
      <w:r w:rsidR="00F36ADC" w:rsidRPr="00A550FE">
        <w:rPr>
          <w:rFonts w:cstheme="minorHAnsi"/>
          <w:b/>
        </w:rPr>
        <w:t xml:space="preserve">Summary </w:t>
      </w:r>
    </w:p>
    <w:p w:rsidR="00F36ADC" w:rsidRPr="00A550FE" w:rsidRDefault="00F36ADC" w:rsidP="00A550FE">
      <w:pPr>
        <w:spacing w:line="240" w:lineRule="auto"/>
        <w:jc w:val="center"/>
        <w:rPr>
          <w:rFonts w:cstheme="minorHAnsi"/>
          <w:b/>
        </w:rPr>
      </w:pPr>
      <w:r w:rsidRPr="00A550FE">
        <w:rPr>
          <w:rFonts w:cstheme="minorHAnsi"/>
          <w:b/>
        </w:rPr>
        <w:t xml:space="preserve">for January 1, 2017 – December </w:t>
      </w:r>
      <w:r w:rsidR="000C5E3E" w:rsidRPr="00A550FE">
        <w:rPr>
          <w:rFonts w:cstheme="minorHAnsi"/>
          <w:b/>
        </w:rPr>
        <w:t xml:space="preserve">31, </w:t>
      </w:r>
      <w:r w:rsidRPr="00A550FE">
        <w:rPr>
          <w:rFonts w:cstheme="minorHAnsi"/>
          <w:b/>
        </w:rPr>
        <w:t>2017</w:t>
      </w:r>
    </w:p>
    <w:p w:rsidR="00A550FE" w:rsidRPr="00A550FE" w:rsidRDefault="00166552" w:rsidP="00A550FE">
      <w:pPr>
        <w:pStyle w:val="Heading1"/>
        <w:rPr>
          <w:rFonts w:asciiTheme="minorHAnsi" w:hAnsiTheme="minorHAnsi" w:cstheme="minorHAnsi"/>
          <w:sz w:val="24"/>
          <w:szCs w:val="22"/>
        </w:rPr>
      </w:pPr>
      <w:r w:rsidRPr="00A550FE">
        <w:rPr>
          <w:rFonts w:asciiTheme="minorHAnsi" w:hAnsiTheme="minorHAnsi" w:cstheme="minorHAnsi"/>
          <w:sz w:val="24"/>
          <w:szCs w:val="22"/>
        </w:rPr>
        <w:t xml:space="preserve">Addendum: </w:t>
      </w:r>
      <w:r w:rsidR="00A550FE" w:rsidRPr="00A550FE">
        <w:rPr>
          <w:rFonts w:asciiTheme="minorHAnsi" w:hAnsiTheme="minorHAnsi" w:cstheme="minorHAnsi"/>
          <w:sz w:val="24"/>
          <w:szCs w:val="22"/>
        </w:rPr>
        <w:t>2017 Technical Work by Community Technical Advisor/Consultant – LimnoTech</w:t>
      </w:r>
    </w:p>
    <w:p w:rsidR="00A550FE" w:rsidRPr="00A550FE" w:rsidRDefault="00A550FE" w:rsidP="00A550FE">
      <w:pPr>
        <w:pStyle w:val="BodyText"/>
        <w:spacing w:line="240" w:lineRule="auto"/>
        <w:rPr>
          <w:rFonts w:asciiTheme="minorHAnsi" w:hAnsiTheme="minorHAnsi" w:cstheme="minorHAnsi"/>
          <w:szCs w:val="22"/>
        </w:rPr>
      </w:pPr>
      <w:r w:rsidRPr="00A550FE">
        <w:rPr>
          <w:rFonts w:asciiTheme="minorHAnsi" w:hAnsiTheme="minorHAnsi" w:cstheme="minorHAnsi"/>
          <w:szCs w:val="22"/>
        </w:rPr>
        <w:t>This section summarizes the technical work conducted in 2017 by Community Technical Advisor/Consultant LimnoTech, and discusses how this work relates to future Control Actions and other requirements of the Comprehensive Plan.</w:t>
      </w:r>
    </w:p>
    <w:p w:rsidR="00A550FE" w:rsidRPr="00A550FE" w:rsidRDefault="00A550FE" w:rsidP="00A550FE">
      <w:pPr>
        <w:pStyle w:val="Heading1"/>
        <w:rPr>
          <w:rFonts w:asciiTheme="minorHAnsi" w:hAnsiTheme="minorHAnsi" w:cstheme="minorHAnsi"/>
          <w:sz w:val="22"/>
          <w:szCs w:val="22"/>
        </w:rPr>
      </w:pPr>
      <w:r w:rsidRPr="00A550FE">
        <w:rPr>
          <w:rFonts w:asciiTheme="minorHAnsi" w:hAnsiTheme="minorHAnsi" w:cstheme="minorHAnsi"/>
          <w:sz w:val="22"/>
          <w:szCs w:val="22"/>
        </w:rPr>
        <w:t>Summary of Activities</w:t>
      </w:r>
    </w:p>
    <w:p w:rsidR="00A550FE" w:rsidRPr="00A550FE" w:rsidRDefault="00A550FE" w:rsidP="00A550FE">
      <w:pPr>
        <w:spacing w:line="240" w:lineRule="auto"/>
        <w:ind w:left="0"/>
        <w:rPr>
          <w:rFonts w:cstheme="minorHAnsi"/>
        </w:rPr>
      </w:pPr>
      <w:r w:rsidRPr="00A550FE">
        <w:rPr>
          <w:rFonts w:cstheme="minorHAnsi"/>
        </w:rPr>
        <w:t>Activities were conducted in the following areas:</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 xml:space="preserve">Compiling, analyzing and reporting the results of 2016 monthly monitoring </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Conducting homolog-specific mass balances for the 2014 and 2015 synoptic surveys</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Compiling available groundwater PCB data and comparing homolog fingerprints to fingerprints from groundwater loads calculated as part of the homolog-specific mass balance</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General technical support</w:t>
      </w:r>
    </w:p>
    <w:p w:rsidR="00A550FE" w:rsidRPr="00A550FE" w:rsidRDefault="00A550FE" w:rsidP="00A550FE">
      <w:pPr>
        <w:spacing w:line="240" w:lineRule="auto"/>
        <w:ind w:left="720"/>
        <w:rPr>
          <w:rFonts w:cstheme="minorHAnsi"/>
        </w:rPr>
      </w:pPr>
    </w:p>
    <w:p w:rsidR="00A550FE" w:rsidRPr="00A550FE" w:rsidRDefault="00A550FE" w:rsidP="00A550FE">
      <w:pPr>
        <w:spacing w:line="240" w:lineRule="auto"/>
        <w:rPr>
          <w:rFonts w:cstheme="minorHAnsi"/>
        </w:rPr>
      </w:pPr>
      <w:r w:rsidRPr="00A550FE">
        <w:rPr>
          <w:rFonts w:cstheme="minorHAnsi"/>
        </w:rPr>
        <w:t>Findings and deliverables for each of these activities are summarized below.</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t>Analysis of 2016 Monthly Monitoring Data</w:t>
      </w:r>
    </w:p>
    <w:p w:rsidR="00A550FE" w:rsidRPr="00A550FE" w:rsidRDefault="00A550FE" w:rsidP="00A550FE">
      <w:pPr>
        <w:pStyle w:val="BodyText"/>
        <w:spacing w:line="240" w:lineRule="auto"/>
        <w:rPr>
          <w:rFonts w:asciiTheme="minorHAnsi" w:hAnsiTheme="minorHAnsi" w:cstheme="minorHAnsi"/>
          <w:szCs w:val="22"/>
        </w:rPr>
      </w:pPr>
      <w:r w:rsidRPr="00A550FE">
        <w:rPr>
          <w:rFonts w:asciiTheme="minorHAnsi" w:hAnsiTheme="minorHAnsi" w:cstheme="minorHAnsi"/>
          <w:szCs w:val="22"/>
        </w:rPr>
        <w:t>The Task Force had conducted synoptic surveys of the Spokane River in 2014 and 2015 to assess groundwater PCB sources during summer flow conditions. Monitoring was conducted in 2016 to provide an understanding of the seasonal variability in PCB concentrations in the river. River sampling was conducted at five Spokane River locations and at the mouth of Latah Creek in each of the months of March, April, May, June, October, and December of 2016.  During 2017, LimnoTech compiled and analyzed the monthly monitoring data and provided the following conclusions:</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River PCB concentrations remain less than 40 pg/l during all months at the outlet of Lake Coeur d’Alene, with only one exception.</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 xml:space="preserve">PCB concentrations tend to increase downstream as the river passes through the Spokane metropolitan area. The amount of increase varies seasonally in response to river flow, with lower river flows generally leading to larger increases in concentration. </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 xml:space="preserve">October river concentrations near Spokane were slightly higher than in other months, in conjunction with wet weather conditions. Data collected by the City of Spokane during this event suggest that the City’s stormwater contributes approximately 5% of these increased concentrations, while historical combined sewer overflow (CSO) data suggest that CSO loads are of a magnitude consistent with the observed increase in concentration. </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 xml:space="preserve">An observed PCB concentration greater than 1000 pg/l at the mouth of Hangman (Latah) Creek during wet weather indicates the potential presence of a PCB loading source to this watershed. While this load is sufficient to cause high concentration in the Creek, its effect on the Spokane River was small due to the small amount flow in the Creek at the time the sample was taken. </w:t>
      </w:r>
    </w:p>
    <w:p w:rsidR="00A550FE" w:rsidRPr="00A550FE" w:rsidRDefault="00A550FE" w:rsidP="00A550FE">
      <w:pPr>
        <w:spacing w:line="240" w:lineRule="auto"/>
        <w:rPr>
          <w:rFonts w:cstheme="minorHAnsi"/>
        </w:rPr>
      </w:pPr>
      <w:r w:rsidRPr="00A550FE">
        <w:rPr>
          <w:rFonts w:cstheme="minorHAnsi"/>
        </w:rPr>
        <w:t xml:space="preserve">This work was documented in the report “Spokane River Regional Toxics Task Force 2016 Monthly Monitoring Report” finalized May 24, 2017. </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lastRenderedPageBreak/>
        <w:t>Homolog-</w:t>
      </w:r>
      <w:r w:rsidRPr="00A550FE">
        <w:rPr>
          <w:rStyle w:val="Heading2Char"/>
          <w:rFonts w:asciiTheme="minorHAnsi" w:hAnsiTheme="minorHAnsi" w:cstheme="minorHAnsi"/>
          <w:sz w:val="22"/>
          <w:szCs w:val="22"/>
        </w:rPr>
        <w:t>S</w:t>
      </w:r>
      <w:r w:rsidRPr="00A550FE">
        <w:rPr>
          <w:rFonts w:asciiTheme="minorHAnsi" w:hAnsiTheme="minorHAnsi" w:cstheme="minorHAnsi"/>
          <w:sz w:val="22"/>
          <w:szCs w:val="22"/>
        </w:rPr>
        <w:t>pecific Mass Balances</w:t>
      </w:r>
    </w:p>
    <w:p w:rsidR="00A550FE" w:rsidRPr="00A550FE" w:rsidRDefault="00A550FE" w:rsidP="00A550FE">
      <w:pPr>
        <w:spacing w:line="240" w:lineRule="auto"/>
        <w:ind w:left="0"/>
        <w:rPr>
          <w:rFonts w:cstheme="minorHAnsi"/>
        </w:rPr>
      </w:pPr>
      <w:r w:rsidRPr="00A550FE">
        <w:rPr>
          <w:rFonts w:cstheme="minorHAnsi"/>
        </w:rPr>
        <w:t>The Task Force had previously conducted mass balance assessments on total PCB loads to the Spokane River using the synoptic survey data from 2014 and 2015, and identified locations of potential groundwater PCB loading. This 2017 analysis expanded upon the prior work to consider homolog-specific mass balance assessments, with the intent of determining homolog distributions for the groundwater loading sources. The intent was to subsequently compare the homolog distributions for the groundwater loading source to homolog distributions from groundwater monitoring wells, in order to identify specific locations in the aquifer that could be contributing PCB loads to the river. Key finding of this analysis were:</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No significant groundwater loads were observed for any homologs between the outlet of Lake Coeur d’Alene and Barker Rd. (Greenacres).</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The groundwater load entering between Barker Rd. and Trent Ave. (Plante’s Ferry) consistently shows a pattern dominated primarily by tetrachloro homologs and secondarily by trichloro homologs.</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A loading source entering between Trent Avenue (Plante’s Ferry) and Greene St. is dominated primarily by hexachloro homologs, and secondarily by pentachloro and heptachloro homologs.</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The data show some inconsistencies that cannot be immediately resolved:</w:t>
      </w:r>
    </w:p>
    <w:p w:rsidR="00A550FE" w:rsidRPr="00A550FE" w:rsidRDefault="00A550FE" w:rsidP="00A550FE">
      <w:pPr>
        <w:pStyle w:val="ListParagraph"/>
        <w:numPr>
          <w:ilvl w:val="1"/>
          <w:numId w:val="14"/>
        </w:numPr>
        <w:spacing w:before="120" w:after="120" w:line="240" w:lineRule="auto"/>
        <w:ind w:left="1170" w:right="0"/>
        <w:rPr>
          <w:rFonts w:cstheme="minorHAnsi"/>
        </w:rPr>
      </w:pPr>
      <w:r w:rsidRPr="00A550FE">
        <w:rPr>
          <w:rFonts w:cstheme="minorHAnsi"/>
        </w:rPr>
        <w:t>It is not clear whether a high river concentration observed below Mirabeau Point represents an ephemeral groundwater load or an anomalous measurement.</w:t>
      </w:r>
    </w:p>
    <w:p w:rsidR="00A550FE" w:rsidRPr="00A550FE" w:rsidRDefault="00A550FE" w:rsidP="00A550FE">
      <w:pPr>
        <w:pStyle w:val="ListParagraph"/>
        <w:numPr>
          <w:ilvl w:val="1"/>
          <w:numId w:val="14"/>
        </w:numPr>
        <w:spacing w:before="120" w:after="120" w:line="240" w:lineRule="auto"/>
        <w:ind w:left="1170" w:right="0"/>
        <w:rPr>
          <w:rFonts w:cstheme="minorHAnsi"/>
        </w:rPr>
      </w:pPr>
      <w:r w:rsidRPr="00A550FE">
        <w:rPr>
          <w:rFonts w:cstheme="minorHAnsi"/>
        </w:rPr>
        <w:t>There is a consistent loss of tri- and tetra-chloro homologs between Trent Ave. (Plante’s Ferry) and Greene St. that cannot be explained via volatilization or alternate assumptions regarding groundwater flow.</w:t>
      </w:r>
    </w:p>
    <w:p w:rsidR="00A550FE" w:rsidRPr="00A550FE" w:rsidRDefault="00A550FE" w:rsidP="00A550FE">
      <w:pPr>
        <w:spacing w:line="240" w:lineRule="auto"/>
        <w:ind w:left="0"/>
        <w:rPr>
          <w:rFonts w:cstheme="minorHAnsi"/>
        </w:rPr>
      </w:pPr>
      <w:r w:rsidRPr="00A550FE">
        <w:rPr>
          <w:rFonts w:cstheme="minorHAnsi"/>
        </w:rPr>
        <w:t>This work was documented in the Technical Memorandum “Homolog-Specific PCB Mass Balance for the Spokane River” finalized August 17, 2014.</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t>Comparison of Homolog-Patterns for Groundwater Wells and Suspected Loads</w:t>
      </w:r>
    </w:p>
    <w:p w:rsidR="00A550FE" w:rsidRPr="00A550FE" w:rsidRDefault="00A550FE" w:rsidP="00A550FE">
      <w:pPr>
        <w:spacing w:after="60" w:line="240" w:lineRule="auto"/>
        <w:ind w:left="0"/>
        <w:rPr>
          <w:rFonts w:cstheme="minorHAnsi"/>
        </w:rPr>
      </w:pPr>
      <w:r w:rsidRPr="00A550FE">
        <w:rPr>
          <w:rFonts w:cstheme="minorHAnsi"/>
        </w:rPr>
        <w:t>LimnoTech compared PCB homolog patterns from relevant Spokane-area groundwater wells to homolog patterns for suspected groundwater loads identified in the homolog-specific PCB mass balance for the Spokane River described above. Key finding of this analysis were:</w:t>
      </w:r>
    </w:p>
    <w:p w:rsidR="00A550FE" w:rsidRPr="00A550FE" w:rsidRDefault="00A550FE" w:rsidP="00A550FE">
      <w:pPr>
        <w:pStyle w:val="ListParagraph"/>
        <w:numPr>
          <w:ilvl w:val="0"/>
          <w:numId w:val="15"/>
        </w:numPr>
        <w:spacing w:after="120" w:line="240" w:lineRule="auto"/>
        <w:ind w:left="630" w:right="0"/>
        <w:rPr>
          <w:rFonts w:cstheme="minorHAnsi"/>
        </w:rPr>
      </w:pPr>
      <w:r w:rsidRPr="00A550FE">
        <w:rPr>
          <w:rFonts w:cstheme="minorHAnsi"/>
        </w:rPr>
        <w:t>Total PCB concentrations in many wells were lower than river concentrations, ruling these wells out as a cause of observed increases in river PCB concentrations.</w:t>
      </w:r>
    </w:p>
    <w:p w:rsidR="00A550FE" w:rsidRPr="00A550FE" w:rsidRDefault="00A550FE" w:rsidP="00A550FE">
      <w:pPr>
        <w:pStyle w:val="ListParagraph"/>
        <w:numPr>
          <w:ilvl w:val="0"/>
          <w:numId w:val="15"/>
        </w:numPr>
        <w:spacing w:before="120" w:after="120" w:line="240" w:lineRule="auto"/>
        <w:ind w:left="630" w:right="0"/>
        <w:rPr>
          <w:rFonts w:cstheme="minorHAnsi"/>
        </w:rPr>
      </w:pPr>
      <w:r w:rsidRPr="00A550FE">
        <w:rPr>
          <w:rFonts w:cstheme="minorHAnsi"/>
        </w:rPr>
        <w:t>Wells from three areas had large enough concentrations to merit further consideration. These areas are: 1) Up-gradient of the Kaiser Trentwood site, 2) the Kaiser Trentwood site, and 3) the General Electric (GE) National Priority List site.</w:t>
      </w:r>
    </w:p>
    <w:p w:rsidR="00A550FE" w:rsidRPr="00A550FE" w:rsidRDefault="00A550FE" w:rsidP="00A550FE">
      <w:pPr>
        <w:pStyle w:val="ListParagraph"/>
        <w:numPr>
          <w:ilvl w:val="0"/>
          <w:numId w:val="15"/>
        </w:numPr>
        <w:spacing w:before="120" w:after="120" w:line="240" w:lineRule="auto"/>
        <w:ind w:left="630" w:right="0"/>
        <w:rPr>
          <w:rFonts w:cstheme="minorHAnsi"/>
        </w:rPr>
      </w:pPr>
      <w:r w:rsidRPr="00A550FE">
        <w:rPr>
          <w:rFonts w:cstheme="minorHAnsi"/>
        </w:rPr>
        <w:t>A cosine similarity analysis was used to assess the degree of correlation between homolog patterns at a given well and homolog patterns imputed from the mass balance assessment. The following correlations were observed:</w:t>
      </w:r>
    </w:p>
    <w:p w:rsidR="00A550FE" w:rsidRPr="00A550FE" w:rsidRDefault="00A550FE" w:rsidP="00A550FE">
      <w:pPr>
        <w:pStyle w:val="ListParagraph"/>
        <w:numPr>
          <w:ilvl w:val="1"/>
          <w:numId w:val="15"/>
        </w:numPr>
        <w:spacing w:before="120" w:line="240" w:lineRule="auto"/>
        <w:ind w:left="1080" w:right="0"/>
        <w:rPr>
          <w:rFonts w:cstheme="minorHAnsi"/>
        </w:rPr>
      </w:pPr>
      <w:r w:rsidRPr="00A550FE">
        <w:rPr>
          <w:rFonts w:cstheme="minorHAnsi"/>
        </w:rPr>
        <w:t>A strong correlation between the homolog patterns on the Kaiser site and the homolog patterns estimated by the mass balance assessment for the Barker/Mirabeau – Trent reach.</w:t>
      </w:r>
    </w:p>
    <w:p w:rsidR="00A550FE" w:rsidRPr="00A550FE" w:rsidRDefault="00A550FE" w:rsidP="00A550FE">
      <w:pPr>
        <w:pStyle w:val="ListParagraph"/>
        <w:numPr>
          <w:ilvl w:val="1"/>
          <w:numId w:val="15"/>
        </w:numPr>
        <w:spacing w:before="120" w:line="240" w:lineRule="auto"/>
        <w:ind w:left="1080" w:right="0"/>
        <w:rPr>
          <w:rFonts w:cstheme="minorHAnsi"/>
        </w:rPr>
      </w:pPr>
      <w:r w:rsidRPr="00A550FE">
        <w:rPr>
          <w:rFonts w:cstheme="minorHAnsi"/>
        </w:rPr>
        <w:t>A strong correlation between the homolog patterns at the GE site and the homolog patterns estimated by the mass balance assessment for the Trent – Greene reach.</w:t>
      </w:r>
    </w:p>
    <w:p w:rsidR="00A550FE" w:rsidRPr="00A550FE" w:rsidRDefault="00A550FE" w:rsidP="00A550FE">
      <w:pPr>
        <w:pStyle w:val="ListParagraph"/>
        <w:numPr>
          <w:ilvl w:val="1"/>
          <w:numId w:val="15"/>
        </w:numPr>
        <w:spacing w:before="120" w:line="240" w:lineRule="auto"/>
        <w:ind w:left="1080" w:right="0"/>
        <w:rPr>
          <w:rFonts w:cstheme="minorHAnsi"/>
        </w:rPr>
      </w:pPr>
      <w:r w:rsidRPr="00A550FE">
        <w:rPr>
          <w:rFonts w:cstheme="minorHAnsi"/>
        </w:rPr>
        <w:t>A partial correlation between the homolog patterns in wells upstream of Kaiser and the homolog patterns estimated by the mass balance assessment for the Barker – Mirabeau reach.</w:t>
      </w:r>
    </w:p>
    <w:p w:rsidR="00A550FE" w:rsidRPr="00A550FE" w:rsidRDefault="00A550FE" w:rsidP="00A550FE">
      <w:pPr>
        <w:pStyle w:val="ListParagraph"/>
        <w:numPr>
          <w:ilvl w:val="0"/>
          <w:numId w:val="15"/>
        </w:numPr>
        <w:spacing w:after="120" w:line="240" w:lineRule="auto"/>
        <w:ind w:right="0"/>
        <w:rPr>
          <w:rFonts w:cstheme="minorHAnsi"/>
        </w:rPr>
      </w:pPr>
      <w:r w:rsidRPr="00A550FE">
        <w:rPr>
          <w:rFonts w:cstheme="minorHAnsi"/>
        </w:rPr>
        <w:t>These results should not be considered proof that groundwater from these well areas is responsible for observed increases in river PCB concentrations, due to the variability in homolog patterns among samples at a given well area and the uncertainty inherent to the mass balance assessment. These results still provide value when used as part of a weight of evidence approach.</w:t>
      </w:r>
    </w:p>
    <w:p w:rsidR="00A550FE" w:rsidRPr="00A550FE" w:rsidRDefault="00A550FE" w:rsidP="00A550FE">
      <w:pPr>
        <w:spacing w:line="240" w:lineRule="auto"/>
        <w:ind w:left="0"/>
        <w:rPr>
          <w:rFonts w:cstheme="minorHAnsi"/>
        </w:rPr>
      </w:pPr>
      <w:r w:rsidRPr="00A550FE">
        <w:rPr>
          <w:rFonts w:cstheme="minorHAnsi"/>
        </w:rPr>
        <w:t>This work was documented in the Technical Memorandum “Comparison of Homolog-Patterns for Groundwater Well Data and Suspected Loads” dated October 18, 2017, that was provisionally accepted by the Task Force pending inclusion of a new figure to be provided by Ecology.</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t>General Technical Support</w:t>
      </w:r>
    </w:p>
    <w:p w:rsidR="00A550FE" w:rsidRPr="00A550FE" w:rsidRDefault="00A550FE" w:rsidP="00A550FE">
      <w:pPr>
        <w:spacing w:line="240" w:lineRule="auto"/>
        <w:ind w:left="0"/>
        <w:rPr>
          <w:rFonts w:cstheme="minorHAnsi"/>
        </w:rPr>
      </w:pPr>
      <w:r w:rsidRPr="00A550FE">
        <w:rPr>
          <w:rFonts w:cstheme="minorHAnsi"/>
        </w:rPr>
        <w:t>LimnoTech has provided “as requested” technical support to the Task Force on several topics in 2017. These include: compiling Chain of Custody-related information for all Task Force monitoring activities for inclusion in the database being developed, providing options and costs for Task Force monitoring requirements as specified in the Comprehensive Plan, providing information on the number of samples required to detect a decreasing trend in river PCB concentrations, and developing a Scope of Work for assessing the linkage between water column and sediment PCBs and resulting PCB concentration in fish tissue.</w:t>
      </w:r>
    </w:p>
    <w:p w:rsidR="00A550FE" w:rsidRPr="00A550FE" w:rsidRDefault="00A550FE" w:rsidP="00A550FE">
      <w:pPr>
        <w:spacing w:line="240" w:lineRule="auto"/>
        <w:rPr>
          <w:rFonts w:cstheme="minorHAnsi"/>
        </w:rPr>
      </w:pPr>
    </w:p>
    <w:p w:rsidR="00A550FE" w:rsidRPr="00A550FE" w:rsidRDefault="00A550FE" w:rsidP="00A550FE">
      <w:pPr>
        <w:spacing w:line="240" w:lineRule="auto"/>
        <w:ind w:left="0"/>
        <w:rPr>
          <w:rFonts w:cstheme="minorHAnsi"/>
        </w:rPr>
      </w:pPr>
      <w:r w:rsidRPr="00A550FE">
        <w:rPr>
          <w:rFonts w:cstheme="minorHAnsi"/>
        </w:rPr>
        <w:t>The Chain of Custody information has been compiled and is awaiting formatting instructions from the Task Force’s database contractor.  The options and costs for Task Force monitoring requirements as specified in the Comprehensive Plan was presented to the TTWG in the presentation “Future Task Force Monitoring in Support of Comprehensive Plan“ on June 7 and to the full Task Force on June 28, 2017. Information on the number of samples required to detect a decreasing trend in river PCB concentrations was presented to the TTWG in the presentation “Future Monitoring in Support of the Comprehensive Plan: Costs for Various Options” on July 12, 2017.  The Scope of Work for defining the linkage between water column and sediment PCBs and resulting PCB concentration in fish tissue was presented to the Task Force in the presentation “Draft Scope of Work: Initial Data Mining to Assess Bioaccumulation of PCBs in Spokane River Fish” on August 28, 2017.</w:t>
      </w:r>
    </w:p>
    <w:p w:rsidR="00A550FE" w:rsidRPr="00A550FE" w:rsidRDefault="00A550FE" w:rsidP="00A550FE">
      <w:pPr>
        <w:pStyle w:val="Heading1"/>
        <w:rPr>
          <w:rFonts w:asciiTheme="minorHAnsi" w:hAnsiTheme="minorHAnsi" w:cstheme="minorHAnsi"/>
          <w:sz w:val="22"/>
          <w:szCs w:val="22"/>
        </w:rPr>
      </w:pPr>
      <w:r w:rsidRPr="00A550FE">
        <w:rPr>
          <w:rFonts w:asciiTheme="minorHAnsi" w:hAnsiTheme="minorHAnsi" w:cstheme="minorHAnsi"/>
          <w:sz w:val="22"/>
          <w:szCs w:val="22"/>
        </w:rPr>
        <w:t>Linkage to Future Control Actions</w:t>
      </w:r>
    </w:p>
    <w:p w:rsidR="00A550FE" w:rsidRPr="00A550FE" w:rsidRDefault="00A550FE" w:rsidP="00A550FE">
      <w:pPr>
        <w:spacing w:line="240" w:lineRule="auto"/>
        <w:ind w:left="0"/>
        <w:rPr>
          <w:rFonts w:cstheme="minorHAnsi"/>
        </w:rPr>
      </w:pPr>
      <w:r w:rsidRPr="00A550FE">
        <w:rPr>
          <w:rFonts w:cstheme="minorHAnsi"/>
        </w:rPr>
        <w:t xml:space="preserve">Many of the activities described above correspond to Control Actions described in the Comprehensive Plan. Specifically, the homolog mass balance/groundwater fingerprinting activities correspond directly to the Control Action in Section 5.14: Identification of Sites of Concern for Contaminated Groundwater. The work has mined existing data to identify specific sites with the potential to contribute PCBs to the Spokane River (Section 5.14.a). The Task Force has shared these results with Ecology’s Toxics Cleanup Program (Section 5.14.b) and is in the process of determining appropriate next steps (Section 5.14.c). </w:t>
      </w:r>
    </w:p>
    <w:p w:rsidR="00A550FE" w:rsidRPr="00A550FE" w:rsidRDefault="00A550FE" w:rsidP="00A550FE">
      <w:pPr>
        <w:spacing w:line="240" w:lineRule="auto"/>
        <w:rPr>
          <w:rFonts w:cstheme="minorHAnsi"/>
        </w:rPr>
      </w:pPr>
    </w:p>
    <w:p w:rsidR="00A550FE" w:rsidRPr="00A550FE" w:rsidRDefault="00A550FE" w:rsidP="00A550FE">
      <w:pPr>
        <w:pBdr>
          <w:bottom w:val="single" w:sz="4" w:space="1" w:color="auto"/>
        </w:pBdr>
        <w:spacing w:line="240" w:lineRule="auto"/>
        <w:ind w:left="0"/>
        <w:rPr>
          <w:rFonts w:cstheme="minorHAnsi"/>
        </w:rPr>
      </w:pPr>
      <w:r w:rsidRPr="00A550FE">
        <w:rPr>
          <w:rFonts w:cstheme="minorHAnsi"/>
        </w:rPr>
        <w:t>The analysis of monthly monitoring data for 2016 provides baseline river data to support the Implementation Effectiveness Assessment (Comprehensive Plan Section 6.1), while guidance on future monitoring design will lead to additional data collection to support this section of the Plan. The Scope of Work to assess the linkage between water column and sediment PCBs and resulting PCB concentration in fish tissue directly supports Comprehensive Plan Section 6.3, Studies to Address Data Gaps.</w:t>
      </w:r>
    </w:p>
    <w:p w:rsidR="00A550FE" w:rsidRPr="00A550FE" w:rsidRDefault="00A550FE" w:rsidP="00A550FE">
      <w:pPr>
        <w:pStyle w:val="p2"/>
        <w:spacing w:after="0"/>
        <w:rPr>
          <w:rFonts w:asciiTheme="minorHAnsi" w:hAnsiTheme="minorHAnsi" w:cstheme="minorHAnsi"/>
          <w:b/>
          <w:sz w:val="22"/>
          <w:szCs w:val="22"/>
        </w:rPr>
      </w:pPr>
    </w:p>
    <w:p w:rsidR="00166552" w:rsidRPr="00A550FE" w:rsidRDefault="00A550FE" w:rsidP="00A550FE">
      <w:pPr>
        <w:pStyle w:val="p2"/>
        <w:spacing w:after="0"/>
        <w:rPr>
          <w:rFonts w:asciiTheme="minorHAnsi" w:hAnsiTheme="minorHAnsi" w:cstheme="minorHAnsi"/>
          <w:b/>
          <w:sz w:val="26"/>
          <w:szCs w:val="22"/>
        </w:rPr>
      </w:pPr>
      <w:r w:rsidRPr="00A550FE">
        <w:rPr>
          <w:rFonts w:asciiTheme="minorHAnsi" w:hAnsiTheme="minorHAnsi" w:cstheme="minorHAnsi"/>
          <w:b/>
          <w:sz w:val="26"/>
          <w:szCs w:val="22"/>
        </w:rPr>
        <w:t xml:space="preserve">Addendum: </w:t>
      </w:r>
      <w:r w:rsidR="00166552" w:rsidRPr="00A550FE">
        <w:rPr>
          <w:rFonts w:asciiTheme="minorHAnsi" w:hAnsiTheme="minorHAnsi" w:cstheme="minorHAnsi"/>
          <w:b/>
          <w:sz w:val="26"/>
          <w:szCs w:val="22"/>
        </w:rPr>
        <w:t>Facilitator’s Summary of Accomplishments</w:t>
      </w:r>
    </w:p>
    <w:p w:rsidR="000C5E3E" w:rsidRPr="00A550FE" w:rsidRDefault="001547BA" w:rsidP="00A550FE">
      <w:pPr>
        <w:shd w:val="clear" w:color="auto" w:fill="FFFFFF"/>
        <w:spacing w:line="240" w:lineRule="auto"/>
        <w:ind w:left="0" w:right="0"/>
        <w:rPr>
          <w:rFonts w:cstheme="minorHAnsi"/>
        </w:rPr>
      </w:pPr>
      <w:r w:rsidRPr="00A550FE">
        <w:rPr>
          <w:rFonts w:cstheme="minorHAnsi"/>
        </w:rPr>
        <w:t>The Spokane River Regional Toxics Task Force (SRRTTF or Task Force), comprised of National Pollutant Discharge Elimination System (NPDES) permittees, state and local agencies, environmental groups, tribal sovereigns, the U.S. Environmental Protection Agency (EPA) and other parties), joined together to work collaboratively to characterize the sources of toxics in the Spokane River and identify and implement actions needed to make measurable progress towards meeting applicable water quality standards</w:t>
      </w:r>
      <w:r w:rsidR="008E1694" w:rsidRPr="00A550FE">
        <w:rPr>
          <w:rFonts w:cstheme="minorHAnsi"/>
        </w:rPr>
        <w:t xml:space="preserve"> for PCBs in the Spokane River</w:t>
      </w:r>
      <w:r w:rsidRPr="00A550FE">
        <w:rPr>
          <w:rFonts w:cstheme="minorHAnsi"/>
        </w:rPr>
        <w:t xml:space="preserve">. This objective is being accomplished through the </w:t>
      </w:r>
      <w:r w:rsidR="008E1694" w:rsidRPr="00A550FE">
        <w:rPr>
          <w:rFonts w:cstheme="minorHAnsi"/>
        </w:rPr>
        <w:t>implementation</w:t>
      </w:r>
      <w:r w:rsidRPr="00A550FE">
        <w:rPr>
          <w:rFonts w:cstheme="minorHAnsi"/>
        </w:rPr>
        <w:t xml:space="preserve"> of a Comprehensive Plan (Comp Plan), which calls for the issuance of an Annual Implementation Review Summary. The Task Force approved its Comp Plan in November 2016 by consensus. This Summary covers the first year of Comp Plan implementation, 2017.</w:t>
      </w:r>
    </w:p>
    <w:p w:rsidR="001547BA" w:rsidRPr="00A550FE" w:rsidRDefault="001547BA" w:rsidP="00A550FE">
      <w:pPr>
        <w:shd w:val="clear" w:color="auto" w:fill="FFFFFF"/>
        <w:spacing w:line="240" w:lineRule="auto"/>
        <w:ind w:right="0"/>
        <w:rPr>
          <w:rFonts w:eastAsia="Times New Roman" w:cstheme="minorHAnsi"/>
          <w:color w:val="212121"/>
        </w:rPr>
      </w:pPr>
    </w:p>
    <w:p w:rsidR="00F130A7" w:rsidRPr="00A550FE" w:rsidRDefault="00F130A7" w:rsidP="00A550FE">
      <w:pPr>
        <w:shd w:val="clear" w:color="auto" w:fill="FFFFFF"/>
        <w:spacing w:line="240" w:lineRule="auto"/>
        <w:ind w:left="0" w:right="0"/>
        <w:rPr>
          <w:rFonts w:eastAsia="Times New Roman" w:cstheme="minorHAnsi"/>
          <w:b/>
          <w:color w:val="212121"/>
        </w:rPr>
      </w:pPr>
      <w:r w:rsidRPr="00A550FE">
        <w:rPr>
          <w:rFonts w:eastAsia="Times New Roman" w:cstheme="minorHAnsi"/>
          <w:b/>
          <w:color w:val="212121"/>
        </w:rPr>
        <w:t xml:space="preserve">Summary of </w:t>
      </w:r>
      <w:r w:rsidR="0098760D" w:rsidRPr="00A550FE">
        <w:rPr>
          <w:rFonts w:eastAsia="Times New Roman" w:cstheme="minorHAnsi"/>
          <w:b/>
          <w:color w:val="212121"/>
        </w:rPr>
        <w:t>A</w:t>
      </w:r>
      <w:r w:rsidRPr="00A550FE">
        <w:rPr>
          <w:rFonts w:eastAsia="Times New Roman" w:cstheme="minorHAnsi"/>
          <w:b/>
          <w:color w:val="212121"/>
        </w:rPr>
        <w:t xml:space="preserve">ccomplishments from </w:t>
      </w:r>
      <w:r w:rsidR="0098760D" w:rsidRPr="00A550FE">
        <w:rPr>
          <w:rFonts w:eastAsia="Times New Roman" w:cstheme="minorHAnsi"/>
          <w:b/>
          <w:color w:val="212121"/>
        </w:rPr>
        <w:t>SRRTTF</w:t>
      </w:r>
      <w:r w:rsidRPr="00A550FE">
        <w:rPr>
          <w:rFonts w:eastAsia="Times New Roman" w:cstheme="minorHAnsi"/>
          <w:b/>
          <w:color w:val="212121"/>
        </w:rPr>
        <w:t xml:space="preserve"> and T</w:t>
      </w:r>
      <w:r w:rsidR="00F32C72" w:rsidRPr="00A550FE">
        <w:rPr>
          <w:rFonts w:eastAsia="Times New Roman" w:cstheme="minorHAnsi"/>
          <w:b/>
          <w:color w:val="212121"/>
        </w:rPr>
        <w:t xml:space="preserve">echnical </w:t>
      </w:r>
      <w:r w:rsidRPr="00A550FE">
        <w:rPr>
          <w:rFonts w:eastAsia="Times New Roman" w:cstheme="minorHAnsi"/>
          <w:b/>
          <w:color w:val="212121"/>
        </w:rPr>
        <w:t>T</w:t>
      </w:r>
      <w:r w:rsidR="00F32C72" w:rsidRPr="00A550FE">
        <w:rPr>
          <w:rFonts w:eastAsia="Times New Roman" w:cstheme="minorHAnsi"/>
          <w:b/>
          <w:color w:val="212121"/>
        </w:rPr>
        <w:t xml:space="preserve">rack </w:t>
      </w:r>
      <w:r w:rsidRPr="00A550FE">
        <w:rPr>
          <w:rFonts w:eastAsia="Times New Roman" w:cstheme="minorHAnsi"/>
          <w:b/>
          <w:color w:val="212121"/>
        </w:rPr>
        <w:t>W</w:t>
      </w:r>
      <w:r w:rsidR="00F32C72" w:rsidRPr="00A550FE">
        <w:rPr>
          <w:rFonts w:eastAsia="Times New Roman" w:cstheme="minorHAnsi"/>
          <w:b/>
          <w:color w:val="212121"/>
        </w:rPr>
        <w:t xml:space="preserve">ork </w:t>
      </w:r>
      <w:r w:rsidRPr="00A550FE">
        <w:rPr>
          <w:rFonts w:eastAsia="Times New Roman" w:cstheme="minorHAnsi"/>
          <w:b/>
          <w:color w:val="212121"/>
        </w:rPr>
        <w:t>G</w:t>
      </w:r>
      <w:r w:rsidR="00F32C72" w:rsidRPr="00A550FE">
        <w:rPr>
          <w:rFonts w:eastAsia="Times New Roman" w:cstheme="minorHAnsi"/>
          <w:b/>
          <w:color w:val="212121"/>
        </w:rPr>
        <w:t>roup (TTWG)</w:t>
      </w:r>
      <w:r w:rsidRPr="00A550FE">
        <w:rPr>
          <w:rFonts w:eastAsia="Times New Roman" w:cstheme="minorHAnsi"/>
          <w:b/>
          <w:color w:val="212121"/>
        </w:rPr>
        <w:t xml:space="preserve"> meetings</w:t>
      </w:r>
    </w:p>
    <w:p w:rsidR="008E1694" w:rsidRPr="00A550FE" w:rsidRDefault="008E1694" w:rsidP="00A550FE">
      <w:pPr>
        <w:shd w:val="clear" w:color="auto" w:fill="FFFFFF"/>
        <w:tabs>
          <w:tab w:val="left" w:pos="1620"/>
        </w:tabs>
        <w:spacing w:line="240" w:lineRule="auto"/>
        <w:ind w:left="0" w:right="-90"/>
        <w:rPr>
          <w:rFonts w:eastAsia="Times New Roman" w:cstheme="minorHAnsi"/>
          <w:color w:val="212121"/>
        </w:rPr>
      </w:pPr>
      <w:r w:rsidRPr="00A550FE">
        <w:rPr>
          <w:rFonts w:eastAsia="Times New Roman" w:cstheme="minorHAnsi"/>
          <w:color w:val="212121"/>
          <w:u w:val="single"/>
        </w:rPr>
        <w:t>Introduction—on Collaboration:</w:t>
      </w:r>
      <w:r w:rsidRPr="00A550FE">
        <w:rPr>
          <w:rFonts w:cstheme="minorHAnsi"/>
        </w:rPr>
        <w:t xml:space="preserve"> </w:t>
      </w:r>
      <w:r w:rsidRPr="00A550FE">
        <w:rPr>
          <w:rFonts w:eastAsia="Times New Roman" w:cstheme="minorHAnsi"/>
          <w:color w:val="212121"/>
        </w:rPr>
        <w:t>Decision-makers at the U.S. EPA and Ecology, along with the Natural Resources Policy Director of the Washington state Governor, have described the Task Force’s collaboration as a model for how best to tackle the complex, watershed-wide, nonpoint source pollution challenges facing the waters and people of the Northwest. Such collaboration brings benefits, but not without uncertainty and organizational, logistical, and project management hurdles. The Task Force’s collaboration has enabled information-sharing, leveraging of resources, and consensus decisions incorporating diverse perspectives on issues of importance to communities in the Spokane River watershed and across the region.</w:t>
      </w:r>
    </w:p>
    <w:p w:rsidR="008E1694" w:rsidRPr="00A550FE" w:rsidRDefault="008E1694" w:rsidP="00A550FE">
      <w:pPr>
        <w:shd w:val="clear" w:color="auto" w:fill="FFFFFF"/>
        <w:spacing w:line="240" w:lineRule="auto"/>
        <w:ind w:left="0" w:right="0"/>
        <w:rPr>
          <w:rFonts w:eastAsia="Times New Roman" w:cstheme="minorHAnsi"/>
          <w:color w:val="212121"/>
        </w:rPr>
      </w:pPr>
    </w:p>
    <w:p w:rsidR="00F32C72" w:rsidRPr="00A550FE" w:rsidRDefault="00C7272E" w:rsidP="00A550FE">
      <w:pPr>
        <w:shd w:val="clear" w:color="auto" w:fill="FFFFFF"/>
        <w:spacing w:line="240" w:lineRule="auto"/>
        <w:ind w:left="0" w:right="0"/>
        <w:rPr>
          <w:rFonts w:eastAsia="Times New Roman" w:cstheme="minorHAnsi"/>
          <w:color w:val="212121"/>
        </w:rPr>
      </w:pPr>
      <w:r w:rsidRPr="00A550FE">
        <w:rPr>
          <w:rFonts w:eastAsia="Times New Roman" w:cstheme="minorHAnsi"/>
          <w:color w:val="212121"/>
        </w:rPr>
        <w:t xml:space="preserve">During 2017, its first year of Comp Plan implementation, the </w:t>
      </w:r>
      <w:r w:rsidR="00153DAC" w:rsidRPr="00A550FE">
        <w:rPr>
          <w:rFonts w:eastAsia="Times New Roman" w:cstheme="minorHAnsi"/>
          <w:color w:val="212121"/>
        </w:rPr>
        <w:t xml:space="preserve">full </w:t>
      </w:r>
      <w:r w:rsidRPr="00A550FE">
        <w:rPr>
          <w:rFonts w:eastAsia="Times New Roman" w:cstheme="minorHAnsi"/>
          <w:color w:val="212121"/>
        </w:rPr>
        <w:t xml:space="preserve">Task Force met </w:t>
      </w:r>
      <w:r w:rsidR="008E1694" w:rsidRPr="00A550FE">
        <w:rPr>
          <w:rFonts w:eastAsia="Times New Roman" w:cstheme="minorHAnsi"/>
          <w:color w:val="212121"/>
        </w:rPr>
        <w:t>fif</w:t>
      </w:r>
      <w:r w:rsidR="00F32C72" w:rsidRPr="00A550FE">
        <w:rPr>
          <w:rFonts w:eastAsia="Times New Roman" w:cstheme="minorHAnsi"/>
          <w:color w:val="212121"/>
        </w:rPr>
        <w:t>teen</w:t>
      </w:r>
      <w:r w:rsidRPr="00A550FE">
        <w:rPr>
          <w:rFonts w:eastAsia="Times New Roman" w:cstheme="minorHAnsi"/>
          <w:color w:val="212121"/>
        </w:rPr>
        <w:t xml:space="preserve"> times and held an additional 2</w:t>
      </w:r>
      <w:r w:rsidR="008E1694" w:rsidRPr="00A550FE">
        <w:rPr>
          <w:rFonts w:eastAsia="Times New Roman" w:cstheme="minorHAnsi"/>
          <w:color w:val="212121"/>
        </w:rPr>
        <w:t>2</w:t>
      </w:r>
      <w:r w:rsidRPr="00A550FE">
        <w:rPr>
          <w:rFonts w:eastAsia="Times New Roman" w:cstheme="minorHAnsi"/>
          <w:color w:val="212121"/>
        </w:rPr>
        <w:t xml:space="preserve"> </w:t>
      </w:r>
      <w:r w:rsidR="00F32C72" w:rsidRPr="00A550FE">
        <w:rPr>
          <w:rFonts w:eastAsia="Times New Roman" w:cstheme="minorHAnsi"/>
          <w:color w:val="212121"/>
        </w:rPr>
        <w:t>meetings of its Administrative &amp; Contracting Entity (ACE), TTWG,</w:t>
      </w:r>
      <w:r w:rsidRPr="00A550FE">
        <w:rPr>
          <w:rFonts w:eastAsia="Times New Roman" w:cstheme="minorHAnsi"/>
          <w:color w:val="212121"/>
        </w:rPr>
        <w:t xml:space="preserve"> </w:t>
      </w:r>
      <w:r w:rsidR="00F32C72" w:rsidRPr="00A550FE">
        <w:rPr>
          <w:rFonts w:eastAsia="Times New Roman" w:cstheme="minorHAnsi"/>
          <w:color w:val="212121"/>
        </w:rPr>
        <w:t xml:space="preserve">Education &amp; Outreach, </w:t>
      </w:r>
      <w:r w:rsidRPr="00A550FE">
        <w:rPr>
          <w:rFonts w:eastAsia="Times New Roman" w:cstheme="minorHAnsi"/>
          <w:color w:val="212121"/>
        </w:rPr>
        <w:t>and Funding Work</w:t>
      </w:r>
      <w:r w:rsidR="00F32C72" w:rsidRPr="00A550FE">
        <w:rPr>
          <w:rFonts w:eastAsia="Times New Roman" w:cstheme="minorHAnsi"/>
          <w:color w:val="212121"/>
        </w:rPr>
        <w:t>g</w:t>
      </w:r>
      <w:r w:rsidRPr="00A550FE">
        <w:rPr>
          <w:rFonts w:eastAsia="Times New Roman" w:cstheme="minorHAnsi"/>
          <w:color w:val="212121"/>
        </w:rPr>
        <w:t>roup</w:t>
      </w:r>
      <w:r w:rsidR="00F32C72" w:rsidRPr="00A550FE">
        <w:rPr>
          <w:rFonts w:eastAsia="Times New Roman" w:cstheme="minorHAnsi"/>
          <w:color w:val="212121"/>
        </w:rPr>
        <w:t xml:space="preserve">s. In addition, Task Force members held </w:t>
      </w:r>
      <w:r w:rsidRPr="00A550FE">
        <w:rPr>
          <w:rFonts w:eastAsia="Times New Roman" w:cstheme="minorHAnsi"/>
          <w:color w:val="212121"/>
        </w:rPr>
        <w:t xml:space="preserve">dozens of informal meetings and conference calls to convene and advance the work of smaller, ad-hoc, issue-specific workgroups. </w:t>
      </w:r>
      <w:r w:rsidR="006725A0" w:rsidRPr="00A550FE">
        <w:rPr>
          <w:rFonts w:eastAsia="Times New Roman" w:cstheme="minorHAnsi"/>
          <w:color w:val="212121"/>
        </w:rPr>
        <w:t>These Control-Action-specific teams, each comprised of a small set of diverse Task Force entities, developed work plans</w:t>
      </w:r>
      <w:r w:rsidR="00153DAC" w:rsidRPr="00A550FE">
        <w:rPr>
          <w:rFonts w:eastAsia="Times New Roman" w:cstheme="minorHAnsi"/>
          <w:color w:val="212121"/>
        </w:rPr>
        <w:t>, agreed on roles and responsibilities,</w:t>
      </w:r>
      <w:r w:rsidR="006725A0" w:rsidRPr="00A550FE">
        <w:rPr>
          <w:rFonts w:eastAsia="Times New Roman" w:cstheme="minorHAnsi"/>
          <w:color w:val="212121"/>
        </w:rPr>
        <w:t xml:space="preserve"> and identified resources to make progress on complex PCB challenges (and opportunities) such as regulatory rulemaking, low-PCB (“safer”) alternative products vi</w:t>
      </w:r>
      <w:r w:rsidR="00153DAC" w:rsidRPr="00A550FE">
        <w:rPr>
          <w:rFonts w:eastAsia="Times New Roman" w:cstheme="minorHAnsi"/>
          <w:color w:val="212121"/>
        </w:rPr>
        <w:t>a green chemistry, and promotion of</w:t>
      </w:r>
      <w:r w:rsidR="006725A0" w:rsidRPr="00A550FE">
        <w:rPr>
          <w:rFonts w:eastAsia="Times New Roman" w:cstheme="minorHAnsi"/>
          <w:color w:val="212121"/>
        </w:rPr>
        <w:t xml:space="preserve"> low impact development practices.</w:t>
      </w:r>
      <w:r w:rsidR="00F32C72" w:rsidRPr="00A550FE">
        <w:rPr>
          <w:rFonts w:eastAsia="Times New Roman" w:cstheme="minorHAnsi"/>
          <w:color w:val="212121"/>
        </w:rPr>
        <w:t xml:space="preserve"> </w:t>
      </w:r>
    </w:p>
    <w:p w:rsidR="00F32C72" w:rsidRPr="00A550FE" w:rsidRDefault="00F32C72" w:rsidP="00A550FE">
      <w:pPr>
        <w:shd w:val="clear" w:color="auto" w:fill="FFFFFF"/>
        <w:spacing w:line="240" w:lineRule="auto"/>
        <w:ind w:right="0"/>
        <w:rPr>
          <w:rFonts w:eastAsia="Times New Roman" w:cstheme="minorHAnsi"/>
          <w:color w:val="212121"/>
        </w:rPr>
      </w:pPr>
    </w:p>
    <w:p w:rsidR="00F32C72" w:rsidRPr="00A550FE" w:rsidRDefault="00D749A0" w:rsidP="00A550FE">
      <w:pPr>
        <w:autoSpaceDE w:val="0"/>
        <w:autoSpaceDN w:val="0"/>
        <w:spacing w:line="240" w:lineRule="auto"/>
        <w:ind w:left="0"/>
        <w:rPr>
          <w:rFonts w:eastAsia="Times New Roman" w:cstheme="minorHAnsi"/>
          <w:color w:val="212121"/>
        </w:rPr>
      </w:pPr>
      <w:r w:rsidRPr="00A550FE">
        <w:rPr>
          <w:rFonts w:eastAsia="Times New Roman" w:cstheme="minorHAnsi"/>
          <w:i/>
          <w:color w:val="212121"/>
        </w:rPr>
        <w:t>T</w:t>
      </w:r>
      <w:r w:rsidR="00F32C72" w:rsidRPr="00A550FE">
        <w:rPr>
          <w:rFonts w:eastAsia="Times New Roman" w:cstheme="minorHAnsi"/>
          <w:i/>
          <w:color w:val="212121"/>
        </w:rPr>
        <w:t xml:space="preserve">he Washington state Department of Ecology (Ecology) </w:t>
      </w:r>
      <w:r w:rsidRPr="00A550FE">
        <w:rPr>
          <w:rFonts w:eastAsia="Times New Roman" w:cstheme="minorHAnsi"/>
          <w:i/>
          <w:color w:val="212121"/>
        </w:rPr>
        <w:t>definition of Measurable Progress (</w:t>
      </w:r>
      <w:r w:rsidR="00CE7431" w:rsidRPr="00A550FE">
        <w:rPr>
          <w:rFonts w:eastAsia="Times New Roman" w:cstheme="minorHAnsi"/>
          <w:i/>
          <w:color w:val="212121"/>
        </w:rPr>
        <w:t xml:space="preserve">required for the SRRTTF to demonstrate, </w:t>
      </w:r>
      <w:r w:rsidRPr="00A550FE">
        <w:rPr>
          <w:rFonts w:eastAsia="Times New Roman" w:cstheme="minorHAnsi"/>
          <w:i/>
          <w:color w:val="212121"/>
        </w:rPr>
        <w:t>toward meeting applicable water quality standards)</w:t>
      </w:r>
      <w:r w:rsidR="00CE7431" w:rsidRPr="00A550FE">
        <w:rPr>
          <w:rFonts w:eastAsia="Times New Roman" w:cstheme="minorHAnsi"/>
          <w:i/>
          <w:color w:val="212121"/>
        </w:rPr>
        <w:t xml:space="preserve"> states,</w:t>
      </w:r>
      <w:r w:rsidRPr="00A550FE">
        <w:rPr>
          <w:rFonts w:eastAsia="Times New Roman" w:cstheme="minorHAnsi"/>
          <w:i/>
          <w:color w:val="212121"/>
        </w:rPr>
        <w:t xml:space="preserve"> </w:t>
      </w:r>
      <w:r w:rsidR="00F32C72" w:rsidRPr="00A550FE">
        <w:rPr>
          <w:rFonts w:eastAsia="Times New Roman" w:cstheme="minorHAnsi"/>
          <w:i/>
          <w:color w:val="212121"/>
        </w:rPr>
        <w:t xml:space="preserve">“the wide variety of metrics that can demonstrate measurable progress…the specific facts and data used to evaluate progress…fall into three broad categories.” </w:t>
      </w:r>
      <w:r w:rsidR="00F32C72" w:rsidRPr="00A550FE">
        <w:rPr>
          <w:rFonts w:eastAsia="Times New Roman" w:cstheme="minorHAnsi"/>
          <w:color w:val="212121"/>
        </w:rPr>
        <w:t>The appendices to this Summary provide detailed accounting of those three broad categories</w:t>
      </w:r>
      <w:r w:rsidR="008E1694" w:rsidRPr="00A550FE">
        <w:rPr>
          <w:rFonts w:eastAsia="Times New Roman" w:cstheme="minorHAnsi"/>
          <w:color w:val="212121"/>
        </w:rPr>
        <w:t>, which are summarized below</w:t>
      </w:r>
      <w:r w:rsidR="00F32C72" w:rsidRPr="00A550FE">
        <w:rPr>
          <w:rFonts w:eastAsia="Times New Roman" w:cstheme="minorHAnsi"/>
          <w:color w:val="212121"/>
        </w:rPr>
        <w:t xml:space="preserve">: </w:t>
      </w:r>
    </w:p>
    <w:p w:rsidR="00F32C72" w:rsidRPr="00A550FE" w:rsidRDefault="00F32C72" w:rsidP="00A550FE">
      <w:pPr>
        <w:pStyle w:val="ListParagraph"/>
        <w:numPr>
          <w:ilvl w:val="0"/>
          <w:numId w:val="11"/>
        </w:numPr>
        <w:autoSpaceDE w:val="0"/>
        <w:autoSpaceDN w:val="0"/>
        <w:spacing w:line="240" w:lineRule="auto"/>
        <w:rPr>
          <w:rFonts w:eastAsia="Times New Roman" w:cstheme="minorHAnsi"/>
          <w:i/>
          <w:color w:val="212121"/>
        </w:rPr>
      </w:pPr>
      <w:r w:rsidRPr="00A550FE">
        <w:rPr>
          <w:rFonts w:eastAsia="Times New Roman" w:cstheme="minorHAnsi"/>
          <w:b/>
          <w:color w:val="212121"/>
        </w:rPr>
        <w:t>Inputs,</w:t>
      </w:r>
      <w:r w:rsidRPr="00A550FE">
        <w:rPr>
          <w:rFonts w:eastAsia="Times New Roman" w:cstheme="minorHAnsi"/>
          <w:color w:val="212121"/>
        </w:rPr>
        <w:t xml:space="preserve"> e.g. presentations from outside entities, issue and process discussions, and policy-related announcements,</w:t>
      </w:r>
    </w:p>
    <w:p w:rsidR="00F32C72" w:rsidRPr="00A550FE" w:rsidRDefault="00F32C72" w:rsidP="00A550FE">
      <w:pPr>
        <w:pStyle w:val="ListParagraph"/>
        <w:numPr>
          <w:ilvl w:val="0"/>
          <w:numId w:val="11"/>
        </w:numPr>
        <w:autoSpaceDE w:val="0"/>
        <w:autoSpaceDN w:val="0"/>
        <w:spacing w:line="240" w:lineRule="auto"/>
        <w:rPr>
          <w:rFonts w:eastAsia="Times New Roman" w:cstheme="minorHAnsi"/>
          <w:i/>
          <w:color w:val="212121"/>
        </w:rPr>
      </w:pPr>
      <w:r w:rsidRPr="00A550FE">
        <w:rPr>
          <w:rFonts w:eastAsia="Times New Roman" w:cstheme="minorHAnsi"/>
          <w:b/>
          <w:color w:val="212121"/>
        </w:rPr>
        <w:t>Outputs,</w:t>
      </w:r>
      <w:r w:rsidRPr="00A550FE">
        <w:rPr>
          <w:rFonts w:eastAsia="Times New Roman" w:cstheme="minorHAnsi"/>
          <w:color w:val="212121"/>
        </w:rPr>
        <w:t xml:space="preserve"> including consensus decisions and action items, and</w:t>
      </w:r>
    </w:p>
    <w:p w:rsidR="00C7272E" w:rsidRPr="00A550FE" w:rsidRDefault="00F32C72" w:rsidP="00A550FE">
      <w:pPr>
        <w:pStyle w:val="ListParagraph"/>
        <w:numPr>
          <w:ilvl w:val="0"/>
          <w:numId w:val="11"/>
        </w:numPr>
        <w:autoSpaceDE w:val="0"/>
        <w:autoSpaceDN w:val="0"/>
        <w:spacing w:line="240" w:lineRule="auto"/>
        <w:rPr>
          <w:rFonts w:eastAsia="Times New Roman" w:cstheme="minorHAnsi"/>
          <w:i/>
          <w:color w:val="212121"/>
        </w:rPr>
      </w:pPr>
      <w:r w:rsidRPr="00A550FE">
        <w:rPr>
          <w:rFonts w:eastAsia="Times New Roman" w:cstheme="minorHAnsi"/>
          <w:b/>
          <w:color w:val="212121"/>
        </w:rPr>
        <w:t xml:space="preserve">Outcomes </w:t>
      </w:r>
      <w:r w:rsidRPr="00A550FE">
        <w:rPr>
          <w:rFonts w:eastAsia="Times New Roman" w:cstheme="minorHAnsi"/>
          <w:color w:val="212121"/>
        </w:rPr>
        <w:t>(to the extent measurable outcomes emerged at this early stage of Comp Plan implementation).</w:t>
      </w:r>
    </w:p>
    <w:p w:rsidR="00C7272E" w:rsidRPr="00A550FE" w:rsidRDefault="00C7272E" w:rsidP="00A550FE">
      <w:pPr>
        <w:shd w:val="clear" w:color="auto" w:fill="FFFFFF"/>
        <w:spacing w:line="240" w:lineRule="auto"/>
        <w:ind w:right="0"/>
        <w:rPr>
          <w:rFonts w:eastAsia="Times New Roman" w:cstheme="minorHAnsi"/>
          <w:color w:val="212121"/>
        </w:rPr>
      </w:pPr>
    </w:p>
    <w:p w:rsidR="00153DAC" w:rsidRPr="00A550FE" w:rsidRDefault="00153DAC" w:rsidP="00A550FE">
      <w:pPr>
        <w:autoSpaceDE w:val="0"/>
        <w:autoSpaceDN w:val="0"/>
        <w:spacing w:line="240" w:lineRule="auto"/>
        <w:ind w:left="0"/>
        <w:rPr>
          <w:rFonts w:eastAsia="Times New Roman" w:cstheme="minorHAnsi"/>
          <w:b/>
          <w:i/>
          <w:color w:val="212121"/>
        </w:rPr>
      </w:pPr>
      <w:r w:rsidRPr="00A550FE">
        <w:rPr>
          <w:rFonts w:eastAsia="Times New Roman" w:cstheme="minorHAnsi"/>
          <w:b/>
          <w:i/>
          <w:color w:val="212121"/>
        </w:rPr>
        <w:t>Inputs: organizing activities</w:t>
      </w:r>
    </w:p>
    <w:p w:rsidR="000B0E47" w:rsidRPr="00A550FE" w:rsidRDefault="000B0E47" w:rsidP="00A550FE">
      <w:pPr>
        <w:autoSpaceDE w:val="0"/>
        <w:autoSpaceDN w:val="0"/>
        <w:spacing w:line="240" w:lineRule="auto"/>
        <w:ind w:left="0"/>
        <w:rPr>
          <w:rFonts w:eastAsia="Times New Roman" w:cstheme="minorHAnsi"/>
          <w:i/>
          <w:color w:val="212121"/>
        </w:rPr>
      </w:pPr>
      <w:r w:rsidRPr="00A550FE">
        <w:rPr>
          <w:rFonts w:eastAsia="Times New Roman" w:cstheme="minorHAnsi"/>
          <w:i/>
          <w:color w:val="212121"/>
        </w:rPr>
        <w:t xml:space="preserve">Using estimates of average attendance can provide a reasonable approximation of the number of hours invested by staff and leaders of SRRTTF member and participant entities. </w:t>
      </w:r>
    </w:p>
    <w:p w:rsidR="000D6CF8" w:rsidRPr="00A550FE" w:rsidRDefault="000D6CF8" w:rsidP="00A550FE">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 xml:space="preserve">Full Task Force meetings: </w:t>
      </w:r>
      <w:r w:rsidR="000703C4" w:rsidRPr="00A550FE">
        <w:rPr>
          <w:rFonts w:eastAsia="Times New Roman" w:cstheme="minorHAnsi"/>
          <w:color w:val="212121"/>
        </w:rPr>
        <w:t>fif</w:t>
      </w:r>
      <w:r w:rsidR="00F32C72" w:rsidRPr="00A550FE">
        <w:rPr>
          <w:rFonts w:eastAsia="Times New Roman" w:cstheme="minorHAnsi"/>
          <w:color w:val="212121"/>
        </w:rPr>
        <w:t>teen</w:t>
      </w:r>
      <w:r w:rsidRPr="00A550FE">
        <w:rPr>
          <w:rFonts w:eastAsia="Times New Roman" w:cstheme="minorHAnsi"/>
          <w:color w:val="212121"/>
        </w:rPr>
        <w:t xml:space="preserve"> (average of 3.5 hours)</w:t>
      </w:r>
      <w:r w:rsidR="000B0E47" w:rsidRPr="00A550FE">
        <w:rPr>
          <w:rFonts w:eastAsia="Times New Roman" w:cstheme="minorHAnsi"/>
          <w:color w:val="212121"/>
        </w:rPr>
        <w:t xml:space="preserve">. Average attendance between 25-30. Using 25 participants, at 3.5 hours each, total in-kind </w:t>
      </w:r>
      <w:r w:rsidR="00667851" w:rsidRPr="00A550FE">
        <w:rPr>
          <w:rFonts w:eastAsia="Times New Roman" w:cstheme="minorHAnsi"/>
          <w:color w:val="212121"/>
        </w:rPr>
        <w:t>contributions = 1,312.5 hours.</w:t>
      </w:r>
    </w:p>
    <w:p w:rsidR="000D6CF8" w:rsidRPr="00A550FE" w:rsidRDefault="000D6CF8" w:rsidP="00A550FE">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Technical Track Work Group meetings: twelve (average of two hours each)</w:t>
      </w:r>
      <w:r w:rsidR="00667851" w:rsidRPr="00A550FE">
        <w:rPr>
          <w:rFonts w:eastAsia="Times New Roman" w:cstheme="minorHAnsi"/>
          <w:color w:val="212121"/>
        </w:rPr>
        <w:t>. Average attendance between 15-20, including phone participants. Using 15 participants, at two hours each, total in-kind contributions = 360 hours.</w:t>
      </w:r>
    </w:p>
    <w:p w:rsidR="000D6CF8" w:rsidRPr="00A550FE" w:rsidRDefault="00F32C72" w:rsidP="00A550FE">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ACE, Funding</w:t>
      </w:r>
      <w:r w:rsidR="002A2475" w:rsidRPr="00A550FE">
        <w:rPr>
          <w:rFonts w:eastAsia="Times New Roman" w:cstheme="minorHAnsi"/>
          <w:color w:val="212121"/>
        </w:rPr>
        <w:t xml:space="preserve">, and </w:t>
      </w:r>
      <w:r w:rsidR="000D6CF8" w:rsidRPr="00A550FE">
        <w:rPr>
          <w:rFonts w:eastAsia="Times New Roman" w:cstheme="minorHAnsi"/>
          <w:color w:val="212121"/>
        </w:rPr>
        <w:t>Outreach Work</w:t>
      </w:r>
      <w:r w:rsidR="002A2475" w:rsidRPr="00A550FE">
        <w:rPr>
          <w:rFonts w:eastAsia="Times New Roman" w:cstheme="minorHAnsi"/>
          <w:color w:val="212121"/>
        </w:rPr>
        <w:t>g</w:t>
      </w:r>
      <w:r w:rsidR="000D6CF8" w:rsidRPr="00A550FE">
        <w:rPr>
          <w:rFonts w:eastAsia="Times New Roman" w:cstheme="minorHAnsi"/>
          <w:color w:val="212121"/>
        </w:rPr>
        <w:t>roup meetings: te</w:t>
      </w:r>
      <w:r w:rsidR="00667851" w:rsidRPr="00A550FE">
        <w:rPr>
          <w:rFonts w:eastAsia="Times New Roman" w:cstheme="minorHAnsi"/>
          <w:color w:val="212121"/>
        </w:rPr>
        <w:t>n</w:t>
      </w:r>
      <w:r w:rsidR="000D6CF8" w:rsidRPr="00A550FE">
        <w:rPr>
          <w:rFonts w:eastAsia="Times New Roman" w:cstheme="minorHAnsi"/>
          <w:color w:val="212121"/>
        </w:rPr>
        <w:t xml:space="preserve"> (average of two hours each)</w:t>
      </w:r>
      <w:r w:rsidR="00667851" w:rsidRPr="00A550FE">
        <w:rPr>
          <w:rFonts w:eastAsia="Times New Roman" w:cstheme="minorHAnsi"/>
          <w:color w:val="212121"/>
        </w:rPr>
        <w:t>. Average attendance four people. Total in-kind contributions = 80 hours.</w:t>
      </w:r>
    </w:p>
    <w:p w:rsidR="00A66681" w:rsidRPr="00A550FE" w:rsidRDefault="00A66681" w:rsidP="00A550FE">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 xml:space="preserve">Ad-hoc, Control-Action-specific workgroups: email communications, </w:t>
      </w:r>
      <w:r w:rsidR="000D6CF8" w:rsidRPr="00A550FE">
        <w:rPr>
          <w:rFonts w:eastAsia="Times New Roman" w:cstheme="minorHAnsi"/>
          <w:color w:val="212121"/>
        </w:rPr>
        <w:t>meetings</w:t>
      </w:r>
      <w:r w:rsidRPr="00A550FE">
        <w:rPr>
          <w:rFonts w:eastAsia="Times New Roman" w:cstheme="minorHAnsi"/>
          <w:color w:val="212121"/>
        </w:rPr>
        <w:t>,</w:t>
      </w:r>
      <w:r w:rsidR="000D6CF8" w:rsidRPr="00A550FE">
        <w:rPr>
          <w:rFonts w:eastAsia="Times New Roman" w:cstheme="minorHAnsi"/>
          <w:color w:val="212121"/>
        </w:rPr>
        <w:t xml:space="preserve"> and</w:t>
      </w:r>
      <w:r w:rsidRPr="00A550FE">
        <w:rPr>
          <w:rFonts w:eastAsia="Times New Roman" w:cstheme="minorHAnsi"/>
          <w:color w:val="212121"/>
        </w:rPr>
        <w:t xml:space="preserve"> </w:t>
      </w:r>
      <w:r w:rsidR="000D6CF8" w:rsidRPr="00A550FE">
        <w:rPr>
          <w:rFonts w:eastAsia="Times New Roman" w:cstheme="minorHAnsi"/>
          <w:color w:val="212121"/>
        </w:rPr>
        <w:t>conference calls</w:t>
      </w:r>
      <w:r w:rsidR="00085E7D" w:rsidRPr="00A550FE">
        <w:rPr>
          <w:rFonts w:eastAsia="Times New Roman" w:cstheme="minorHAnsi"/>
          <w:color w:val="212121"/>
        </w:rPr>
        <w:t xml:space="preserve">—from in-person meetings with </w:t>
      </w:r>
      <w:r w:rsidR="00667851" w:rsidRPr="00A550FE">
        <w:rPr>
          <w:rFonts w:eastAsia="Times New Roman" w:cstheme="minorHAnsi"/>
          <w:color w:val="212121"/>
        </w:rPr>
        <w:t xml:space="preserve">existing entities (e.g. the Envirostars Steering Committee) </w:t>
      </w:r>
      <w:r w:rsidR="00085E7D" w:rsidRPr="00A550FE">
        <w:rPr>
          <w:rFonts w:eastAsia="Times New Roman" w:cstheme="minorHAnsi"/>
          <w:color w:val="212121"/>
        </w:rPr>
        <w:t xml:space="preserve">to </w:t>
      </w:r>
      <w:r w:rsidR="00667851" w:rsidRPr="00A550FE">
        <w:rPr>
          <w:rFonts w:eastAsia="Times New Roman" w:cstheme="minorHAnsi"/>
          <w:color w:val="212121"/>
        </w:rPr>
        <w:t xml:space="preserve">conference calls to </w:t>
      </w:r>
      <w:r w:rsidR="00085E7D" w:rsidRPr="00A550FE">
        <w:rPr>
          <w:rFonts w:eastAsia="Times New Roman" w:cstheme="minorHAnsi"/>
          <w:color w:val="212121"/>
        </w:rPr>
        <w:t xml:space="preserve">email planning by the Fish Tissue Sampling workgroup. These averaged </w:t>
      </w:r>
      <w:r w:rsidRPr="00A550FE">
        <w:rPr>
          <w:rFonts w:eastAsia="Times New Roman" w:cstheme="minorHAnsi"/>
          <w:color w:val="212121"/>
        </w:rPr>
        <w:t>approximately two per month, or 24 for the</w:t>
      </w:r>
      <w:r w:rsidR="00085E7D" w:rsidRPr="00A550FE">
        <w:rPr>
          <w:rFonts w:eastAsia="Times New Roman" w:cstheme="minorHAnsi"/>
          <w:color w:val="212121"/>
        </w:rPr>
        <w:t xml:space="preserve"> year, averaging 1.5 hours each.</w:t>
      </w:r>
      <w:r w:rsidR="00667851" w:rsidRPr="00A550FE">
        <w:rPr>
          <w:rFonts w:eastAsia="Times New Roman" w:cstheme="minorHAnsi"/>
          <w:color w:val="212121"/>
        </w:rPr>
        <w:t xml:space="preserve"> Average attendance four people. Total in-kind contributions = 144 hours.</w:t>
      </w:r>
    </w:p>
    <w:p w:rsidR="00085E7D" w:rsidRPr="00A550FE" w:rsidRDefault="00A66681" w:rsidP="00A550FE">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 xml:space="preserve">Email </w:t>
      </w:r>
      <w:r w:rsidR="0047509B" w:rsidRPr="00A550FE">
        <w:rPr>
          <w:rFonts w:eastAsia="Times New Roman" w:cstheme="minorHAnsi"/>
          <w:color w:val="212121"/>
        </w:rPr>
        <w:t>communications</w:t>
      </w:r>
      <w:r w:rsidR="002A2475" w:rsidRPr="00A550FE">
        <w:rPr>
          <w:rFonts w:eastAsia="Times New Roman" w:cstheme="minorHAnsi"/>
          <w:color w:val="212121"/>
        </w:rPr>
        <w:t xml:space="preserve"> to full </w:t>
      </w:r>
      <w:r w:rsidR="005D442D" w:rsidRPr="00A550FE">
        <w:rPr>
          <w:rFonts w:eastAsia="Times New Roman" w:cstheme="minorHAnsi"/>
          <w:color w:val="212121"/>
        </w:rPr>
        <w:t>209-</w:t>
      </w:r>
      <w:r w:rsidR="004D027F" w:rsidRPr="00A550FE">
        <w:rPr>
          <w:rFonts w:eastAsia="Times New Roman" w:cstheme="minorHAnsi"/>
          <w:color w:val="212121"/>
        </w:rPr>
        <w:t xml:space="preserve">address </w:t>
      </w:r>
      <w:r w:rsidR="002A2475" w:rsidRPr="00A550FE">
        <w:rPr>
          <w:rFonts w:eastAsia="Times New Roman" w:cstheme="minorHAnsi"/>
          <w:color w:val="212121"/>
        </w:rPr>
        <w:t xml:space="preserve">SRRTTF </w:t>
      </w:r>
      <w:r w:rsidR="004D027F" w:rsidRPr="00A550FE">
        <w:rPr>
          <w:rFonts w:eastAsia="Times New Roman" w:cstheme="minorHAnsi"/>
          <w:color w:val="212121"/>
        </w:rPr>
        <w:t xml:space="preserve">email </w:t>
      </w:r>
      <w:r w:rsidR="002A2475" w:rsidRPr="00A550FE">
        <w:rPr>
          <w:rFonts w:eastAsia="Times New Roman" w:cstheme="minorHAnsi"/>
          <w:color w:val="212121"/>
        </w:rPr>
        <w:t>listserv</w:t>
      </w:r>
      <w:r w:rsidR="0047509B" w:rsidRPr="00A550FE">
        <w:rPr>
          <w:rFonts w:eastAsia="Times New Roman" w:cstheme="minorHAnsi"/>
          <w:color w:val="212121"/>
        </w:rPr>
        <w:t>:</w:t>
      </w:r>
      <w:r w:rsidRPr="00A550FE">
        <w:rPr>
          <w:rFonts w:eastAsia="Times New Roman" w:cstheme="minorHAnsi"/>
          <w:color w:val="212121"/>
        </w:rPr>
        <w:t xml:space="preserve"> </w:t>
      </w:r>
      <w:r w:rsidR="0024733B" w:rsidRPr="00A550FE">
        <w:rPr>
          <w:rFonts w:eastAsia="Times New Roman" w:cstheme="minorHAnsi"/>
          <w:color w:val="212121"/>
        </w:rPr>
        <w:t>1</w:t>
      </w:r>
      <w:r w:rsidR="00377BE7">
        <w:rPr>
          <w:rFonts w:eastAsia="Times New Roman" w:cstheme="minorHAnsi"/>
          <w:color w:val="212121"/>
        </w:rPr>
        <w:t>13</w:t>
      </w:r>
      <w:r w:rsidR="00085E7D" w:rsidRPr="00A550FE">
        <w:rPr>
          <w:rFonts w:eastAsia="Times New Roman" w:cstheme="minorHAnsi"/>
          <w:color w:val="212121"/>
        </w:rPr>
        <w:t>, including</w:t>
      </w:r>
    </w:p>
    <w:p w:rsidR="00085E7D" w:rsidRPr="00A550FE" w:rsidRDefault="00085E7D" w:rsidP="00A550FE">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5</w:t>
      </w:r>
      <w:r w:rsidR="00377BE7">
        <w:rPr>
          <w:rFonts w:eastAsia="Times New Roman" w:cstheme="minorHAnsi"/>
          <w:color w:val="212121"/>
        </w:rPr>
        <w:t>5</w:t>
      </w:r>
      <w:r w:rsidR="0047509B" w:rsidRPr="00A550FE">
        <w:rPr>
          <w:rFonts w:eastAsia="Times New Roman" w:cstheme="minorHAnsi"/>
          <w:color w:val="212121"/>
        </w:rPr>
        <w:t xml:space="preserve"> meeting </w:t>
      </w:r>
      <w:r w:rsidRPr="00A550FE">
        <w:rPr>
          <w:rFonts w:eastAsia="Times New Roman" w:cstheme="minorHAnsi"/>
          <w:color w:val="212121"/>
        </w:rPr>
        <w:t>(and meeting-related) announcements,</w:t>
      </w:r>
    </w:p>
    <w:p w:rsidR="00085E7D" w:rsidRPr="00A550FE" w:rsidRDefault="0094120A" w:rsidP="00A550FE">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1</w:t>
      </w:r>
      <w:r w:rsidR="003F2D61" w:rsidRPr="00A550FE">
        <w:rPr>
          <w:rFonts w:eastAsia="Times New Roman" w:cstheme="minorHAnsi"/>
          <w:color w:val="212121"/>
        </w:rPr>
        <w:t>7</w:t>
      </w:r>
      <w:r w:rsidR="0047509B" w:rsidRPr="00A550FE">
        <w:rPr>
          <w:rFonts w:eastAsia="Times New Roman" w:cstheme="minorHAnsi"/>
          <w:color w:val="212121"/>
        </w:rPr>
        <w:t xml:space="preserve"> </w:t>
      </w:r>
      <w:r w:rsidR="00085E7D" w:rsidRPr="00A550FE">
        <w:rPr>
          <w:rFonts w:eastAsia="Times New Roman" w:cstheme="minorHAnsi"/>
          <w:color w:val="212121"/>
        </w:rPr>
        <w:t>related to funding opportunities</w:t>
      </w:r>
      <w:r w:rsidR="00B04B21" w:rsidRPr="00A550FE">
        <w:rPr>
          <w:rFonts w:eastAsia="Times New Roman" w:cstheme="minorHAnsi"/>
          <w:color w:val="212121"/>
        </w:rPr>
        <w:t>,</w:t>
      </w:r>
    </w:p>
    <w:p w:rsidR="0097641C" w:rsidRPr="00A550FE" w:rsidRDefault="0097641C" w:rsidP="00A550FE">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15 related to policies and public comment opportunities,</w:t>
      </w:r>
    </w:p>
    <w:p w:rsidR="00B04B21" w:rsidRPr="00A550FE" w:rsidRDefault="0097641C" w:rsidP="00A550FE">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1</w:t>
      </w:r>
      <w:r w:rsidR="00377BE7">
        <w:rPr>
          <w:rFonts w:eastAsia="Times New Roman" w:cstheme="minorHAnsi"/>
          <w:color w:val="212121"/>
        </w:rPr>
        <w:t>8</w:t>
      </w:r>
      <w:r w:rsidR="0047509B" w:rsidRPr="00A550FE">
        <w:rPr>
          <w:rFonts w:eastAsia="Times New Roman" w:cstheme="minorHAnsi"/>
          <w:color w:val="212121"/>
        </w:rPr>
        <w:t xml:space="preserve"> </w:t>
      </w:r>
      <w:r w:rsidR="00B04B21" w:rsidRPr="00A550FE">
        <w:rPr>
          <w:rFonts w:eastAsia="Times New Roman" w:cstheme="minorHAnsi"/>
          <w:color w:val="212121"/>
        </w:rPr>
        <w:t xml:space="preserve">with information on Task Force memos and products, or </w:t>
      </w:r>
      <w:r w:rsidR="0094120A" w:rsidRPr="00A550FE">
        <w:rPr>
          <w:rFonts w:eastAsia="Times New Roman" w:cstheme="minorHAnsi"/>
          <w:color w:val="212121"/>
        </w:rPr>
        <w:t xml:space="preserve">technical information/reports </w:t>
      </w:r>
      <w:r w:rsidR="00B04B21" w:rsidRPr="00A550FE">
        <w:rPr>
          <w:rFonts w:eastAsia="Times New Roman" w:cstheme="minorHAnsi"/>
          <w:color w:val="212121"/>
        </w:rPr>
        <w:t>of interest (e.g. from Department of Ecology’s Environmental Assessment Program),</w:t>
      </w:r>
    </w:p>
    <w:p w:rsidR="000D6CF8" w:rsidRPr="00A550FE" w:rsidRDefault="00377BE7" w:rsidP="00A550FE">
      <w:pPr>
        <w:pStyle w:val="ListParagraph"/>
        <w:numPr>
          <w:ilvl w:val="1"/>
          <w:numId w:val="7"/>
        </w:numPr>
        <w:autoSpaceDE w:val="0"/>
        <w:autoSpaceDN w:val="0"/>
        <w:spacing w:line="240" w:lineRule="auto"/>
        <w:rPr>
          <w:rFonts w:eastAsia="Times New Roman" w:cstheme="minorHAnsi"/>
          <w:b/>
          <w:i/>
          <w:color w:val="212121"/>
        </w:rPr>
      </w:pPr>
      <w:r>
        <w:rPr>
          <w:rFonts w:eastAsia="Times New Roman" w:cstheme="minorHAnsi"/>
          <w:color w:val="212121"/>
        </w:rPr>
        <w:t xml:space="preserve">Eight </w:t>
      </w:r>
      <w:r w:rsidR="0094120A" w:rsidRPr="00A550FE">
        <w:rPr>
          <w:rFonts w:eastAsia="Times New Roman" w:cstheme="minorHAnsi"/>
          <w:color w:val="212121"/>
        </w:rPr>
        <w:t>of</w:t>
      </w:r>
      <w:r w:rsidR="00085E7D" w:rsidRPr="00A550FE">
        <w:rPr>
          <w:rFonts w:eastAsia="Times New Roman" w:cstheme="minorHAnsi"/>
          <w:color w:val="212121"/>
        </w:rPr>
        <w:t xml:space="preserve"> general interest</w:t>
      </w:r>
      <w:r w:rsidR="0047509B" w:rsidRPr="00A550FE">
        <w:rPr>
          <w:rFonts w:eastAsia="Times New Roman" w:cstheme="minorHAnsi"/>
          <w:color w:val="212121"/>
        </w:rPr>
        <w:t>.</w:t>
      </w:r>
    </w:p>
    <w:p w:rsidR="000B0E47" w:rsidRPr="00A550FE" w:rsidRDefault="0033546E" w:rsidP="00A550FE">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 xml:space="preserve">Consensus agreement </w:t>
      </w:r>
      <w:r w:rsidR="0097641C" w:rsidRPr="00A550FE">
        <w:rPr>
          <w:rFonts w:eastAsia="Times New Roman" w:cstheme="minorHAnsi"/>
          <w:color w:val="212121"/>
        </w:rPr>
        <w:t>&amp; agreed-upon action items</w:t>
      </w:r>
      <w:r w:rsidR="00E8489B" w:rsidRPr="00A550FE">
        <w:rPr>
          <w:rFonts w:eastAsia="Times New Roman" w:cstheme="minorHAnsi"/>
          <w:color w:val="212121"/>
        </w:rPr>
        <w:t xml:space="preserve">: </w:t>
      </w:r>
      <w:r w:rsidR="00535565" w:rsidRPr="00A550FE">
        <w:rPr>
          <w:rFonts w:eastAsia="Times New Roman" w:cstheme="minorHAnsi"/>
          <w:color w:val="212121"/>
        </w:rPr>
        <w:t xml:space="preserve">during its twelve meetings </w:t>
      </w:r>
      <w:r w:rsidR="000512EA" w:rsidRPr="00A550FE">
        <w:rPr>
          <w:rFonts w:eastAsia="Times New Roman" w:cstheme="minorHAnsi"/>
          <w:color w:val="212121"/>
        </w:rPr>
        <w:t>in 2017,</w:t>
      </w:r>
      <w:r w:rsidR="000703C4" w:rsidRPr="00A550FE">
        <w:rPr>
          <w:rFonts w:eastAsia="Times New Roman" w:cstheme="minorHAnsi"/>
          <w:color w:val="212121"/>
        </w:rPr>
        <w:t xml:space="preserve"> the Task Force reached</w:t>
      </w:r>
      <w:r w:rsidR="00E8489B" w:rsidRPr="00A550FE">
        <w:rPr>
          <w:rFonts w:eastAsia="Times New Roman" w:cstheme="minorHAnsi"/>
          <w:color w:val="212121"/>
        </w:rPr>
        <w:t xml:space="preserve"> </w:t>
      </w:r>
      <w:r w:rsidR="000703C4" w:rsidRPr="00A550FE">
        <w:rPr>
          <w:rFonts w:eastAsia="Times New Roman" w:cstheme="minorHAnsi"/>
          <w:color w:val="212121"/>
        </w:rPr>
        <w:t>c</w:t>
      </w:r>
      <w:r w:rsidR="00E8489B" w:rsidRPr="00A550FE">
        <w:rPr>
          <w:rFonts w:eastAsia="Times New Roman" w:cstheme="minorHAnsi"/>
          <w:color w:val="212121"/>
        </w:rPr>
        <w:t xml:space="preserve">onsensus agreement </w:t>
      </w:r>
      <w:r w:rsidR="000703C4" w:rsidRPr="00A550FE">
        <w:rPr>
          <w:rFonts w:eastAsia="Times New Roman" w:cstheme="minorHAnsi"/>
          <w:color w:val="212121"/>
        </w:rPr>
        <w:t>on 3</w:t>
      </w:r>
      <w:r w:rsidR="000512EA" w:rsidRPr="00A550FE">
        <w:rPr>
          <w:rFonts w:eastAsia="Times New Roman" w:cstheme="minorHAnsi"/>
          <w:color w:val="212121"/>
        </w:rPr>
        <w:t>7</w:t>
      </w:r>
      <w:r w:rsidR="000703C4" w:rsidRPr="00A550FE">
        <w:rPr>
          <w:rFonts w:eastAsia="Times New Roman" w:cstheme="minorHAnsi"/>
          <w:color w:val="212121"/>
        </w:rPr>
        <w:t xml:space="preserve"> separate collaborative decisions, </w:t>
      </w:r>
      <w:r w:rsidR="00E8489B" w:rsidRPr="00A550FE">
        <w:rPr>
          <w:rFonts w:eastAsia="Times New Roman" w:cstheme="minorHAnsi"/>
          <w:color w:val="212121"/>
        </w:rPr>
        <w:t xml:space="preserve">and </w:t>
      </w:r>
      <w:r w:rsidR="000703C4" w:rsidRPr="00A550FE">
        <w:rPr>
          <w:rFonts w:eastAsia="Times New Roman" w:cstheme="minorHAnsi"/>
          <w:color w:val="212121"/>
        </w:rPr>
        <w:t>identified and completed 1</w:t>
      </w:r>
      <w:r w:rsidR="000512EA" w:rsidRPr="00A550FE">
        <w:rPr>
          <w:rFonts w:eastAsia="Times New Roman" w:cstheme="minorHAnsi"/>
          <w:color w:val="212121"/>
        </w:rPr>
        <w:t>35</w:t>
      </w:r>
      <w:r w:rsidR="000703C4" w:rsidRPr="00A550FE">
        <w:rPr>
          <w:rFonts w:eastAsia="Times New Roman" w:cstheme="minorHAnsi"/>
          <w:color w:val="212121"/>
        </w:rPr>
        <w:t xml:space="preserve"> </w:t>
      </w:r>
      <w:r w:rsidR="00E8489B" w:rsidRPr="00A550FE">
        <w:rPr>
          <w:rFonts w:eastAsia="Times New Roman" w:cstheme="minorHAnsi"/>
          <w:color w:val="212121"/>
        </w:rPr>
        <w:t xml:space="preserve">action items </w:t>
      </w:r>
      <w:r w:rsidR="000703C4" w:rsidRPr="00A550FE">
        <w:rPr>
          <w:rFonts w:eastAsia="Times New Roman" w:cstheme="minorHAnsi"/>
          <w:color w:val="212121"/>
        </w:rPr>
        <w:t>via individual efforts of various participants</w:t>
      </w:r>
      <w:r w:rsidR="00E8489B" w:rsidRPr="00A550FE">
        <w:rPr>
          <w:rFonts w:eastAsia="Times New Roman" w:cstheme="minorHAnsi"/>
          <w:color w:val="212121"/>
        </w:rPr>
        <w:t>.</w:t>
      </w:r>
    </w:p>
    <w:p w:rsidR="000D6CF8" w:rsidRPr="00A550FE" w:rsidRDefault="000D6CF8" w:rsidP="00A550FE">
      <w:pPr>
        <w:autoSpaceDE w:val="0"/>
        <w:autoSpaceDN w:val="0"/>
        <w:spacing w:line="240" w:lineRule="auto"/>
        <w:rPr>
          <w:rFonts w:eastAsia="Times New Roman" w:cstheme="minorHAnsi"/>
          <w:b/>
          <w:i/>
          <w:color w:val="212121"/>
        </w:rPr>
      </w:pPr>
    </w:p>
    <w:p w:rsidR="00153DAC" w:rsidRPr="00A550FE" w:rsidRDefault="00153DAC" w:rsidP="00A550FE">
      <w:pPr>
        <w:autoSpaceDE w:val="0"/>
        <w:autoSpaceDN w:val="0"/>
        <w:spacing w:line="240" w:lineRule="auto"/>
        <w:ind w:left="0"/>
        <w:rPr>
          <w:rFonts w:eastAsia="Times New Roman" w:cstheme="minorHAnsi"/>
          <w:b/>
          <w:i/>
          <w:color w:val="212121"/>
        </w:rPr>
      </w:pPr>
      <w:r w:rsidRPr="00A550FE">
        <w:rPr>
          <w:rFonts w:eastAsia="Times New Roman" w:cstheme="minorHAnsi"/>
          <w:b/>
          <w:i/>
          <w:color w:val="212121"/>
        </w:rPr>
        <w:t xml:space="preserve">Outputs: </w:t>
      </w:r>
      <w:r w:rsidR="00274C7A" w:rsidRPr="00A550FE">
        <w:rPr>
          <w:rFonts w:eastAsia="Times New Roman" w:cstheme="minorHAnsi"/>
          <w:b/>
          <w:i/>
          <w:color w:val="212121"/>
        </w:rPr>
        <w:t>A</w:t>
      </w:r>
      <w:r w:rsidRPr="00A550FE">
        <w:rPr>
          <w:rFonts w:eastAsia="Times New Roman" w:cstheme="minorHAnsi"/>
          <w:b/>
          <w:i/>
          <w:color w:val="212121"/>
        </w:rPr>
        <w:t>ctivities</w:t>
      </w:r>
      <w:r w:rsidR="00EF5107" w:rsidRPr="00A550FE">
        <w:rPr>
          <w:rFonts w:eastAsia="Times New Roman" w:cstheme="minorHAnsi"/>
          <w:b/>
          <w:i/>
          <w:color w:val="212121"/>
        </w:rPr>
        <w:t>, Funding,</w:t>
      </w:r>
      <w:r w:rsidRPr="00A550FE">
        <w:rPr>
          <w:rFonts w:eastAsia="Times New Roman" w:cstheme="minorHAnsi"/>
          <w:b/>
          <w:i/>
          <w:color w:val="212121"/>
        </w:rPr>
        <w:t xml:space="preserve"> and </w:t>
      </w:r>
      <w:r w:rsidR="00274C7A" w:rsidRPr="00A550FE">
        <w:rPr>
          <w:rFonts w:eastAsia="Times New Roman" w:cstheme="minorHAnsi"/>
          <w:b/>
          <w:i/>
          <w:color w:val="212121"/>
        </w:rPr>
        <w:t>W</w:t>
      </w:r>
      <w:r w:rsidRPr="00A550FE">
        <w:rPr>
          <w:rFonts w:eastAsia="Times New Roman" w:cstheme="minorHAnsi"/>
          <w:b/>
          <w:i/>
          <w:color w:val="212121"/>
        </w:rPr>
        <w:t xml:space="preserve">ork </w:t>
      </w:r>
      <w:r w:rsidR="00274C7A" w:rsidRPr="00A550FE">
        <w:rPr>
          <w:rFonts w:eastAsia="Times New Roman" w:cstheme="minorHAnsi"/>
          <w:b/>
          <w:i/>
          <w:color w:val="212121"/>
        </w:rPr>
        <w:t>P</w:t>
      </w:r>
      <w:r w:rsidRPr="00A550FE">
        <w:rPr>
          <w:rFonts w:eastAsia="Times New Roman" w:cstheme="minorHAnsi"/>
          <w:b/>
          <w:i/>
          <w:color w:val="212121"/>
        </w:rPr>
        <w:t>roducts</w:t>
      </w:r>
    </w:p>
    <w:p w:rsidR="00046EEE" w:rsidRPr="00A550FE" w:rsidRDefault="00B06C6B" w:rsidP="00A550FE">
      <w:pPr>
        <w:shd w:val="clear" w:color="auto" w:fill="FFFFFF"/>
        <w:tabs>
          <w:tab w:val="left" w:pos="1620"/>
        </w:tabs>
        <w:spacing w:line="240" w:lineRule="auto"/>
        <w:ind w:left="0" w:right="-90"/>
        <w:rPr>
          <w:rFonts w:eastAsia="Times New Roman" w:cstheme="minorHAnsi"/>
          <w:color w:val="212121"/>
        </w:rPr>
      </w:pPr>
      <w:r w:rsidRPr="00A550FE">
        <w:rPr>
          <w:rFonts w:eastAsia="Times New Roman" w:cstheme="minorHAnsi"/>
          <w:color w:val="212121"/>
          <w:u w:val="single"/>
        </w:rPr>
        <w:t>Activities:</w:t>
      </w:r>
    </w:p>
    <w:p w:rsidR="00046EEE" w:rsidRPr="00A550FE" w:rsidRDefault="00046EEE" w:rsidP="00A550FE">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 xml:space="preserve">Leading Washington state effort to procure “PCB-Free” products: </w:t>
      </w:r>
    </w:p>
    <w:p w:rsidR="00046EEE" w:rsidRPr="00A550FE" w:rsidRDefault="00046EEE" w:rsidP="00A550FE">
      <w:pPr>
        <w:pStyle w:val="ListParagraph"/>
        <w:numPr>
          <w:ilvl w:val="1"/>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The Task Force is advising the Washington Departments of Enterprise Services (DES) and Ecology on implementation of the state’s preferential purchasing policy for products low in PCBs. DES personnel in both 2016 (during Comprehensive Plan development) and 2017 attended SRRTTF meetings to solicit guidance on its formative work to implement the policy.</w:t>
      </w:r>
    </w:p>
    <w:p w:rsidR="00BE0A2B" w:rsidRPr="00A550FE" w:rsidRDefault="00BE0A2B" w:rsidP="00A550FE">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Funds acquired and donated: the Washington state Legislature allocated $310,000 to the SRRTTF for its work during the biennium from July 1, 2017 to June 30, 201</w:t>
      </w:r>
      <w:r w:rsidR="000512EA" w:rsidRPr="00A550FE">
        <w:rPr>
          <w:rFonts w:eastAsia="Times New Roman" w:cstheme="minorHAnsi"/>
          <w:color w:val="212121"/>
        </w:rPr>
        <w:t>9 ($155K each year of the biennium)</w:t>
      </w:r>
      <w:r w:rsidRPr="00A550FE">
        <w:rPr>
          <w:rFonts w:eastAsia="Times New Roman" w:cstheme="minorHAnsi"/>
          <w:color w:val="212121"/>
        </w:rPr>
        <w:t xml:space="preserve">. NPDES-permitted discharges on the SRSP </w:t>
      </w:r>
      <w:r w:rsidR="000512EA" w:rsidRPr="00A550FE">
        <w:rPr>
          <w:rFonts w:eastAsia="Times New Roman" w:cstheme="minorHAnsi"/>
          <w:color w:val="212121"/>
        </w:rPr>
        <w:t xml:space="preserve">collectively pledged </w:t>
      </w:r>
      <w:r w:rsidRPr="00A550FE">
        <w:rPr>
          <w:rFonts w:eastAsia="Times New Roman" w:cstheme="minorHAnsi"/>
          <w:color w:val="212121"/>
        </w:rPr>
        <w:t xml:space="preserve">to contribute $125,000 </w:t>
      </w:r>
      <w:r w:rsidR="000512EA" w:rsidRPr="00A550FE">
        <w:rPr>
          <w:rFonts w:eastAsia="Times New Roman" w:cstheme="minorHAnsi"/>
          <w:color w:val="212121"/>
        </w:rPr>
        <w:t>for the first year of this biennium (7/1/17-6/30/18</w:t>
      </w:r>
      <w:r w:rsidR="0093442B" w:rsidRPr="00A550FE">
        <w:rPr>
          <w:rFonts w:eastAsia="Times New Roman" w:cstheme="minorHAnsi"/>
          <w:color w:val="212121"/>
        </w:rPr>
        <w:t xml:space="preserve">) </w:t>
      </w:r>
      <w:r w:rsidRPr="00A550FE">
        <w:rPr>
          <w:rFonts w:eastAsia="Times New Roman" w:cstheme="minorHAnsi"/>
          <w:color w:val="212121"/>
        </w:rPr>
        <w:t xml:space="preserve">to </w:t>
      </w:r>
      <w:r w:rsidR="000512EA" w:rsidRPr="00A550FE">
        <w:rPr>
          <w:rFonts w:eastAsia="Times New Roman" w:cstheme="minorHAnsi"/>
          <w:color w:val="212121"/>
        </w:rPr>
        <w:t xml:space="preserve">produce a financial commitment of $280,000 secured in 2017 to </w:t>
      </w:r>
      <w:r w:rsidRPr="00A550FE">
        <w:rPr>
          <w:rFonts w:eastAsia="Times New Roman" w:cstheme="minorHAnsi"/>
          <w:color w:val="212121"/>
        </w:rPr>
        <w:t>further Task Force efforts to find and reduce PCBs</w:t>
      </w:r>
      <w:r w:rsidR="000512EA" w:rsidRPr="00A550FE">
        <w:rPr>
          <w:rFonts w:eastAsia="Times New Roman" w:cstheme="minorHAnsi"/>
          <w:color w:val="212121"/>
        </w:rPr>
        <w:t xml:space="preserve"> from July 2017 to June 2018.</w:t>
      </w:r>
    </w:p>
    <w:p w:rsidR="00046EEE" w:rsidRPr="00A550FE" w:rsidRDefault="00046EEE" w:rsidP="00A550FE">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Technology transfer (from LDW):</w:t>
      </w:r>
      <w:r w:rsidR="00701D84" w:rsidRPr="00A550FE">
        <w:rPr>
          <w:rFonts w:eastAsia="Times New Roman" w:cstheme="minorHAnsi"/>
          <w:color w:val="212121"/>
        </w:rPr>
        <w:t xml:space="preserve"> the SRRTTF received presentations from several people and entities on scientific, technological, or other cutting-edge topics related to PCB source identification and control. Will Hobbs and Brandee Era-Miller of Ecology’s EAP program</w:t>
      </w:r>
      <w:r w:rsidR="001E428A" w:rsidRPr="00A550FE">
        <w:rPr>
          <w:rFonts w:eastAsia="Times New Roman" w:cstheme="minorHAnsi"/>
          <w:color w:val="212121"/>
        </w:rPr>
        <w:t>, Jeremy Schmidt and others from Ecology’s Toxics Cleanup Program (TCP), Rachel McCrea (Ecology), and Dave Dilks (LimnoTech, Inc.) each provided information that can help guide and tailor the Task Force’s PCB control work in 2017. In past years, Task Force technical workshops have gleaned technical information from as far away as the Delaware River Basin and San Francisco Estuary.</w:t>
      </w:r>
    </w:p>
    <w:p w:rsidR="00046EEE" w:rsidRPr="00A550FE" w:rsidRDefault="00BE0A2B" w:rsidP="00A550FE">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Cumulative information-s</w:t>
      </w:r>
      <w:r w:rsidR="00046EEE" w:rsidRPr="00A550FE">
        <w:rPr>
          <w:rFonts w:eastAsia="Times New Roman" w:cstheme="minorHAnsi"/>
          <w:color w:val="212121"/>
        </w:rPr>
        <w:t>haring</w:t>
      </w:r>
      <w:r w:rsidRPr="00A550FE">
        <w:rPr>
          <w:rFonts w:eastAsia="Times New Roman" w:cstheme="minorHAnsi"/>
          <w:color w:val="212121"/>
        </w:rPr>
        <w:t>:</w:t>
      </w:r>
    </w:p>
    <w:p w:rsidR="00046EEE" w:rsidRPr="00A550FE" w:rsidRDefault="00667851" w:rsidP="00A550FE">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P</w:t>
      </w:r>
      <w:r w:rsidR="00B06C6B" w:rsidRPr="00A550FE">
        <w:rPr>
          <w:rFonts w:eastAsia="Times New Roman" w:cstheme="minorHAnsi"/>
          <w:color w:val="212121"/>
        </w:rPr>
        <w:t xml:space="preserve">resentations by Ecology and </w:t>
      </w:r>
      <w:r w:rsidR="00046EEE" w:rsidRPr="00A550FE">
        <w:rPr>
          <w:rFonts w:eastAsia="Times New Roman" w:cstheme="minorHAnsi"/>
          <w:color w:val="212121"/>
        </w:rPr>
        <w:t xml:space="preserve">from (or to) </w:t>
      </w:r>
      <w:r w:rsidR="00B06C6B" w:rsidRPr="00A550FE">
        <w:rPr>
          <w:rFonts w:eastAsia="Times New Roman" w:cstheme="minorHAnsi"/>
          <w:color w:val="212121"/>
        </w:rPr>
        <w:t>other groups</w:t>
      </w:r>
      <w:r w:rsidR="00E8489B" w:rsidRPr="00A550FE">
        <w:rPr>
          <w:rFonts w:eastAsia="Times New Roman" w:cstheme="minorHAnsi"/>
          <w:color w:val="212121"/>
        </w:rPr>
        <w:t>:  34 presentations on Task Force related topics.</w:t>
      </w:r>
    </w:p>
    <w:p w:rsidR="007A00AE" w:rsidRPr="00A550FE" w:rsidRDefault="00667851" w:rsidP="00A550FE">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R</w:t>
      </w:r>
      <w:r w:rsidR="0033546E" w:rsidRPr="00A550FE">
        <w:rPr>
          <w:rFonts w:eastAsia="Times New Roman" w:cstheme="minorHAnsi"/>
          <w:color w:val="212121"/>
        </w:rPr>
        <w:t>eports</w:t>
      </w:r>
      <w:r w:rsidR="007A00AE" w:rsidRPr="00A550FE">
        <w:rPr>
          <w:rFonts w:eastAsia="Times New Roman" w:cstheme="minorHAnsi"/>
          <w:color w:val="212121"/>
        </w:rPr>
        <w:t xml:space="preserve"> approved, distributed, and posted:</w:t>
      </w:r>
      <w:r w:rsidR="007A00AE" w:rsidRPr="00A550FE">
        <w:rPr>
          <w:rFonts w:cstheme="minorHAnsi"/>
        </w:rPr>
        <w:t xml:space="preserve"> SRRTTF 2017 Homolog Mass Balance Memo</w:t>
      </w:r>
    </w:p>
    <w:p w:rsidR="007A00AE" w:rsidRPr="00A550FE" w:rsidRDefault="007A00AE" w:rsidP="00A550FE">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 xml:space="preserve">Letters approved by consensus and sent: </w:t>
      </w:r>
    </w:p>
    <w:p w:rsidR="007A00AE" w:rsidRPr="00A550FE" w:rsidRDefault="007A00AE" w:rsidP="00A550FE">
      <w:pPr>
        <w:pStyle w:val="ListParagraph"/>
        <w:numPr>
          <w:ilvl w:val="1"/>
          <w:numId w:val="9"/>
        </w:numPr>
        <w:shd w:val="clear" w:color="auto" w:fill="FFFFFF"/>
        <w:spacing w:line="240" w:lineRule="auto"/>
        <w:ind w:right="-90"/>
        <w:rPr>
          <w:rFonts w:eastAsia="Times New Roman" w:cstheme="minorHAnsi"/>
          <w:color w:val="212121"/>
        </w:rPr>
      </w:pPr>
      <w:r w:rsidRPr="00A550FE">
        <w:rPr>
          <w:rFonts w:eastAsia="Times New Roman" w:cstheme="minorHAnsi"/>
          <w:color w:val="212121"/>
        </w:rPr>
        <w:t>L</w:t>
      </w:r>
      <w:r w:rsidRPr="00A550FE">
        <w:rPr>
          <w:rFonts w:cstheme="minorHAnsi"/>
        </w:rPr>
        <w:t>etter of support for the Lands Council National Fish and Wildlife Foundation Grant Proposal to fund high school curricula for stormwater and Low Impact Development (LID).</w:t>
      </w:r>
    </w:p>
    <w:p w:rsidR="007A00AE" w:rsidRPr="00A550FE" w:rsidRDefault="004F6DBF" w:rsidP="00A550FE">
      <w:pPr>
        <w:pStyle w:val="ListParagraph"/>
        <w:numPr>
          <w:ilvl w:val="1"/>
          <w:numId w:val="9"/>
        </w:numPr>
        <w:shd w:val="clear" w:color="auto" w:fill="FFFFFF"/>
        <w:spacing w:line="240" w:lineRule="auto"/>
        <w:ind w:right="-90"/>
        <w:rPr>
          <w:rFonts w:eastAsia="Times New Roman" w:cstheme="minorHAnsi"/>
          <w:color w:val="212121"/>
        </w:rPr>
      </w:pPr>
      <w:hyperlink r:id="rId8" w:history="1">
        <w:r w:rsidR="007A00AE" w:rsidRPr="00A550FE">
          <w:rPr>
            <w:rStyle w:val="Hyperlink"/>
            <w:rFonts w:cstheme="minorHAnsi"/>
          </w:rPr>
          <w:t>Letter on Docket ID No. EPA-HQOA-2017-0190-TSCA Inadvertent PCB Allowance Discrepancy with Water Quality Standards</w:t>
        </w:r>
      </w:hyperlink>
    </w:p>
    <w:p w:rsidR="007A00AE" w:rsidRPr="00A550FE" w:rsidRDefault="007A00AE" w:rsidP="00A550FE">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O</w:t>
      </w:r>
      <w:r w:rsidR="0033546E" w:rsidRPr="00A550FE">
        <w:rPr>
          <w:rFonts w:eastAsia="Times New Roman" w:cstheme="minorHAnsi"/>
          <w:color w:val="212121"/>
        </w:rPr>
        <w:t>utreach products app</w:t>
      </w:r>
      <w:r w:rsidR="0094120A" w:rsidRPr="00A550FE">
        <w:rPr>
          <w:rFonts w:eastAsia="Times New Roman" w:cstheme="minorHAnsi"/>
          <w:color w:val="212121"/>
        </w:rPr>
        <w:t>roved</w:t>
      </w:r>
      <w:r w:rsidR="00E8489B" w:rsidRPr="00A550FE">
        <w:rPr>
          <w:rFonts w:eastAsia="Times New Roman" w:cstheme="minorHAnsi"/>
          <w:color w:val="212121"/>
        </w:rPr>
        <w:t>:</w:t>
      </w:r>
    </w:p>
    <w:p w:rsidR="007A00AE" w:rsidRPr="00A550FE" w:rsidRDefault="00E8489B" w:rsidP="00A550FE">
      <w:pPr>
        <w:pStyle w:val="ListParagraph"/>
        <w:numPr>
          <w:ilvl w:val="1"/>
          <w:numId w:val="9"/>
        </w:numPr>
        <w:shd w:val="clear" w:color="auto" w:fill="FFFFFF"/>
        <w:spacing w:line="240" w:lineRule="auto"/>
        <w:ind w:right="-90"/>
        <w:rPr>
          <w:rFonts w:eastAsia="Times New Roman" w:cstheme="minorHAnsi"/>
          <w:color w:val="212121"/>
        </w:rPr>
      </w:pPr>
      <w:r w:rsidRPr="00A550FE">
        <w:rPr>
          <w:rFonts w:eastAsia="Times New Roman" w:cstheme="minorHAnsi"/>
          <w:color w:val="212121"/>
        </w:rPr>
        <w:t>Comp Plan Press Release</w:t>
      </w:r>
    </w:p>
    <w:p w:rsidR="007A00AE" w:rsidRPr="00A550FE" w:rsidRDefault="007A00AE" w:rsidP="00A550FE">
      <w:pPr>
        <w:pStyle w:val="ListParagraph"/>
        <w:numPr>
          <w:ilvl w:val="1"/>
          <w:numId w:val="9"/>
        </w:numPr>
        <w:shd w:val="clear" w:color="auto" w:fill="FFFFFF"/>
        <w:spacing w:line="240" w:lineRule="auto"/>
        <w:ind w:right="-90"/>
        <w:rPr>
          <w:rFonts w:eastAsia="Times New Roman" w:cstheme="minorHAnsi"/>
          <w:color w:val="212121"/>
        </w:rPr>
      </w:pPr>
      <w:r w:rsidRPr="00A550FE">
        <w:rPr>
          <w:rFonts w:eastAsia="Times New Roman" w:cstheme="minorHAnsi"/>
          <w:color w:val="212121"/>
        </w:rPr>
        <w:t xml:space="preserve">PCB </w:t>
      </w:r>
      <w:r w:rsidR="00E8489B" w:rsidRPr="00A550FE">
        <w:rPr>
          <w:rFonts w:eastAsia="Times New Roman" w:cstheme="minorHAnsi"/>
          <w:color w:val="212121"/>
        </w:rPr>
        <w:t xml:space="preserve">Outreach </w:t>
      </w:r>
      <w:r w:rsidRPr="00A550FE">
        <w:rPr>
          <w:rFonts w:eastAsia="Times New Roman" w:cstheme="minorHAnsi"/>
          <w:color w:val="212121"/>
        </w:rPr>
        <w:t>w</w:t>
      </w:r>
      <w:r w:rsidR="00E8489B" w:rsidRPr="00A550FE">
        <w:rPr>
          <w:rFonts w:eastAsia="Times New Roman" w:cstheme="minorHAnsi"/>
          <w:color w:val="212121"/>
        </w:rPr>
        <w:t>ebsite concept</w:t>
      </w:r>
      <w:r w:rsidRPr="00A550FE">
        <w:rPr>
          <w:rFonts w:eastAsia="Times New Roman" w:cstheme="minorHAnsi"/>
          <w:color w:val="212121"/>
        </w:rPr>
        <w:t xml:space="preserve"> (pcbfreespokaneriver.com)</w:t>
      </w:r>
    </w:p>
    <w:p w:rsidR="0033546E" w:rsidRPr="00A550FE" w:rsidRDefault="00E8489B" w:rsidP="00A550FE">
      <w:pPr>
        <w:pStyle w:val="ListParagraph"/>
        <w:numPr>
          <w:ilvl w:val="1"/>
          <w:numId w:val="9"/>
        </w:numPr>
        <w:shd w:val="clear" w:color="auto" w:fill="FFFFFF"/>
        <w:spacing w:line="240" w:lineRule="auto"/>
        <w:ind w:right="-90"/>
        <w:rPr>
          <w:rFonts w:eastAsia="Times New Roman" w:cstheme="minorHAnsi"/>
          <w:color w:val="212121"/>
        </w:rPr>
      </w:pPr>
      <w:r w:rsidRPr="00A550FE">
        <w:rPr>
          <w:rFonts w:eastAsia="Times New Roman" w:cstheme="minorHAnsi"/>
          <w:color w:val="212121"/>
        </w:rPr>
        <w:t>Outreach Posters</w:t>
      </w:r>
      <w:bookmarkStart w:id="0" w:name="_Hlk499113278"/>
      <w:r w:rsidR="00667851" w:rsidRPr="00A550FE">
        <w:rPr>
          <w:rFonts w:eastAsia="Times New Roman" w:cstheme="minorHAnsi"/>
          <w:color w:val="212121"/>
        </w:rPr>
        <w:t xml:space="preserve"> </w:t>
      </w:r>
      <w:bookmarkEnd w:id="0"/>
    </w:p>
    <w:p w:rsidR="00046EEE" w:rsidRPr="00A550FE" w:rsidRDefault="00046EEE" w:rsidP="00A550FE">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Participation in workshops, conferences, etc</w:t>
      </w:r>
      <w:r w:rsidR="007A00AE" w:rsidRPr="00A550FE">
        <w:rPr>
          <w:rFonts w:eastAsia="Times New Roman" w:cstheme="minorHAnsi"/>
          <w:color w:val="212121"/>
        </w:rPr>
        <w:t xml:space="preserve">.: Task Force members and participants participate regularly in </w:t>
      </w:r>
      <w:r w:rsidR="002E42B1" w:rsidRPr="00A550FE">
        <w:rPr>
          <w:rFonts w:eastAsia="Times New Roman" w:cstheme="minorHAnsi"/>
          <w:color w:val="212121"/>
        </w:rPr>
        <w:t>public events and open houses, conferences and forums, and other events, where they regularly mention the work of the SRRTTF to find and reduce PCBs. For 2017, a tally was not kept; it may be that the Task Force opts to catalogue such appearances in the interest of documenting its work.</w:t>
      </w:r>
    </w:p>
    <w:p w:rsidR="0033546E" w:rsidRPr="00A550FE" w:rsidRDefault="0033546E" w:rsidP="00A550FE">
      <w:pPr>
        <w:shd w:val="clear" w:color="auto" w:fill="FFFFFF"/>
        <w:tabs>
          <w:tab w:val="left" w:pos="1620"/>
        </w:tabs>
        <w:spacing w:line="240" w:lineRule="auto"/>
        <w:ind w:left="0" w:right="-90"/>
        <w:rPr>
          <w:rFonts w:eastAsia="Times New Roman" w:cstheme="minorHAnsi"/>
          <w:color w:val="212121"/>
        </w:rPr>
      </w:pPr>
    </w:p>
    <w:p w:rsidR="00153DAC" w:rsidRPr="00A550FE" w:rsidRDefault="00153DAC" w:rsidP="00A550FE">
      <w:pPr>
        <w:autoSpaceDE w:val="0"/>
        <w:autoSpaceDN w:val="0"/>
        <w:spacing w:line="240" w:lineRule="auto"/>
        <w:ind w:left="0"/>
        <w:rPr>
          <w:rFonts w:eastAsia="Times New Roman" w:cstheme="minorHAnsi"/>
          <w:i/>
          <w:color w:val="212121"/>
        </w:rPr>
      </w:pPr>
      <w:r w:rsidRPr="00A550FE">
        <w:rPr>
          <w:rFonts w:eastAsia="Times New Roman" w:cstheme="minorHAnsi"/>
          <w:b/>
          <w:i/>
          <w:color w:val="212121"/>
        </w:rPr>
        <w:t>Outcomes: Progress toward achievement of the applicable water quality criteria for PCBs</w:t>
      </w:r>
      <w:r w:rsidRPr="00A550FE">
        <w:rPr>
          <w:rFonts w:eastAsia="Times New Roman" w:cstheme="minorHAnsi"/>
          <w:i/>
          <w:color w:val="212121"/>
        </w:rPr>
        <w:t xml:space="preserve"> in the Spokane River which could be demonstrated by achievement of the applicable water quality standards, health standards, and/or measured reductions of toxics to or in the Spokane River.</w:t>
      </w:r>
    </w:p>
    <w:p w:rsidR="004F6DBF" w:rsidRPr="00A550FE" w:rsidRDefault="004F6DBF" w:rsidP="004F6DBF">
      <w:pPr>
        <w:pStyle w:val="ListParagraph"/>
        <w:numPr>
          <w:ilvl w:val="0"/>
          <w:numId w:val="5"/>
        </w:numPr>
        <w:shd w:val="clear" w:color="auto" w:fill="FFFFFF"/>
        <w:spacing w:line="240" w:lineRule="auto"/>
        <w:ind w:right="0"/>
        <w:rPr>
          <w:rFonts w:eastAsia="Times New Roman" w:cstheme="minorHAnsi"/>
          <w:color w:val="212121"/>
        </w:rPr>
      </w:pPr>
      <w:r w:rsidRPr="00A550FE">
        <w:rPr>
          <w:rFonts w:eastAsia="Times New Roman" w:cstheme="minorHAnsi"/>
          <w:color w:val="212121"/>
        </w:rPr>
        <w:t>Identification of previously-unknown groundwater PCB source</w:t>
      </w:r>
    </w:p>
    <w:p w:rsidR="004F6DBF" w:rsidRPr="00A550FE" w:rsidRDefault="004F6DBF" w:rsidP="004F6DBF">
      <w:pPr>
        <w:pStyle w:val="ListParagraph"/>
        <w:numPr>
          <w:ilvl w:val="0"/>
          <w:numId w:val="5"/>
        </w:numPr>
        <w:shd w:val="clear" w:color="auto" w:fill="FFFFFF"/>
        <w:spacing w:line="240" w:lineRule="auto"/>
        <w:ind w:right="0"/>
        <w:rPr>
          <w:rFonts w:eastAsia="Times New Roman" w:cstheme="minorHAnsi"/>
          <w:color w:val="212121"/>
        </w:rPr>
      </w:pPr>
      <w:r w:rsidRPr="00A550FE">
        <w:rPr>
          <w:rFonts w:eastAsia="Times New Roman" w:cstheme="minorHAnsi"/>
          <w:color w:val="212121"/>
        </w:rPr>
        <w:t>Groundwater “fingerprinting” analysis to narrow area from which the groundwater source may originate</w:t>
      </w:r>
    </w:p>
    <w:p w:rsidR="00153DAC" w:rsidRPr="00A550FE" w:rsidRDefault="004F6DBF" w:rsidP="00A550FE">
      <w:pPr>
        <w:pStyle w:val="ListParagraph"/>
        <w:numPr>
          <w:ilvl w:val="0"/>
          <w:numId w:val="5"/>
        </w:numPr>
        <w:shd w:val="clear" w:color="auto" w:fill="FFFFFF"/>
        <w:spacing w:line="240" w:lineRule="auto"/>
        <w:ind w:right="0"/>
        <w:rPr>
          <w:rFonts w:eastAsia="Times New Roman" w:cstheme="minorHAnsi"/>
          <w:color w:val="212121"/>
        </w:rPr>
      </w:pPr>
      <w:r>
        <w:rPr>
          <w:rFonts w:eastAsia="Times New Roman" w:cstheme="minorHAnsi"/>
          <w:color w:val="212121"/>
        </w:rPr>
        <w:t>Task Force work laid the necessary groundwork to answer the question of whether measured levels of PCBs in the river are dropping over time</w:t>
      </w:r>
    </w:p>
    <w:p w:rsidR="000C5E3E" w:rsidRPr="00A550FE" w:rsidRDefault="000C5E3E" w:rsidP="00A550FE">
      <w:pPr>
        <w:autoSpaceDE w:val="0"/>
        <w:autoSpaceDN w:val="0"/>
        <w:spacing w:line="240" w:lineRule="auto"/>
        <w:ind w:left="0"/>
        <w:rPr>
          <w:rFonts w:eastAsia="Times New Roman" w:cstheme="minorHAnsi"/>
          <w:i/>
          <w:color w:val="212121"/>
        </w:rPr>
      </w:pPr>
    </w:p>
    <w:p w:rsidR="00006475" w:rsidRDefault="00B06C6B" w:rsidP="00006475">
      <w:pPr>
        <w:pBdr>
          <w:bottom w:val="single" w:sz="4" w:space="1" w:color="auto"/>
        </w:pBdr>
        <w:autoSpaceDE w:val="0"/>
        <w:autoSpaceDN w:val="0"/>
        <w:spacing w:line="240" w:lineRule="auto"/>
        <w:ind w:left="0"/>
        <w:rPr>
          <w:rFonts w:eastAsia="Times New Roman" w:cstheme="minorHAnsi"/>
          <w:i/>
          <w:color w:val="212121"/>
        </w:rPr>
      </w:pPr>
      <w:r w:rsidRPr="00A550FE">
        <w:rPr>
          <w:rFonts w:eastAsia="Times New Roman" w:cstheme="minorHAnsi"/>
          <w:i/>
          <w:color w:val="212121"/>
        </w:rPr>
        <w:t>NOTE [from Measurable Progress de</w:t>
      </w:r>
      <w:r w:rsidR="00A0082B" w:rsidRPr="00A550FE">
        <w:rPr>
          <w:rFonts w:eastAsia="Times New Roman" w:cstheme="minorHAnsi"/>
          <w:i/>
          <w:color w:val="212121"/>
        </w:rPr>
        <w:t>f</w:t>
      </w:r>
      <w:r w:rsidRPr="00A550FE">
        <w:rPr>
          <w:rFonts w:eastAsia="Times New Roman" w:cstheme="minorHAnsi"/>
          <w:i/>
          <w:color w:val="212121"/>
        </w:rPr>
        <w:t>in</w:t>
      </w:r>
      <w:r w:rsidR="00A0082B" w:rsidRPr="00A550FE">
        <w:rPr>
          <w:rFonts w:eastAsia="Times New Roman" w:cstheme="minorHAnsi"/>
          <w:i/>
          <w:color w:val="212121"/>
        </w:rPr>
        <w:t>i</w:t>
      </w:r>
      <w:r w:rsidRPr="00A550FE">
        <w:rPr>
          <w:rFonts w:eastAsia="Times New Roman" w:cstheme="minorHAnsi"/>
          <w:i/>
          <w:color w:val="212121"/>
        </w:rPr>
        <w:t>tion]:</w:t>
      </w:r>
      <w:r w:rsidR="00467D7C" w:rsidRPr="00A550FE">
        <w:rPr>
          <w:rFonts w:eastAsia="Times New Roman" w:cstheme="minorHAnsi"/>
          <w:i/>
          <w:color w:val="212121"/>
        </w:rPr>
        <w:t xml:space="preserve"> The relative levels of progress made in the areas of inputs, outputs, and outcomes changes over time. For example, progress made relative to inputs is likely greater early in the life of the Task Force as the SRRTTF develops the structures, systems, and plans needed to conduct its business. Over time outcomes, with the demonstration of progress through environmental results, are expected to dominate the level of progress made.</w:t>
      </w:r>
    </w:p>
    <w:p w:rsidR="00E86DFD" w:rsidRPr="00A550FE" w:rsidRDefault="00E86DFD" w:rsidP="00A550FE">
      <w:pPr>
        <w:autoSpaceDE w:val="0"/>
        <w:autoSpaceDN w:val="0"/>
        <w:spacing w:line="240" w:lineRule="auto"/>
        <w:ind w:left="0"/>
        <w:rPr>
          <w:rFonts w:eastAsia="Times New Roman" w:cstheme="minorHAnsi"/>
          <w:i/>
          <w:color w:val="212121"/>
        </w:rPr>
      </w:pPr>
    </w:p>
    <w:p w:rsidR="00573ED5" w:rsidRPr="00E33294" w:rsidRDefault="00573ED5" w:rsidP="00006475">
      <w:pPr>
        <w:spacing w:line="240" w:lineRule="auto"/>
        <w:ind w:left="0"/>
        <w:rPr>
          <w:sz w:val="26"/>
        </w:rPr>
      </w:pPr>
      <w:r w:rsidRPr="00E33294">
        <w:rPr>
          <w:rStyle w:val="Emphasis"/>
          <w:b/>
          <w:i w:val="0"/>
          <w:sz w:val="26"/>
        </w:rPr>
        <w:t>Addendum</w:t>
      </w:r>
      <w:r w:rsidRPr="00E33294">
        <w:rPr>
          <w:sz w:val="26"/>
        </w:rPr>
        <w:t xml:space="preserve">:  </w:t>
      </w:r>
      <w:r w:rsidRPr="00E33294">
        <w:rPr>
          <w:b/>
          <w:sz w:val="26"/>
        </w:rPr>
        <w:t>Green Chemistry Workgroup Activities</w:t>
      </w:r>
    </w:p>
    <w:p w:rsidR="00573ED5" w:rsidRDefault="00573ED5" w:rsidP="00945A41">
      <w:pPr>
        <w:spacing w:line="240" w:lineRule="auto"/>
      </w:pPr>
      <w:r>
        <w:tab/>
      </w:r>
      <w:r>
        <w:tab/>
      </w:r>
    </w:p>
    <w:p w:rsidR="00573ED5" w:rsidRDefault="00573ED5" w:rsidP="00006475">
      <w:pPr>
        <w:spacing w:line="240" w:lineRule="auto"/>
        <w:ind w:left="0"/>
      </w:pPr>
      <w:r w:rsidRPr="00FF1711">
        <w:rPr>
          <w:rStyle w:val="Emphasis"/>
        </w:rPr>
        <w:t>Members</w:t>
      </w:r>
      <w:r>
        <w:t>:</w:t>
      </w:r>
    </w:p>
    <w:p w:rsidR="00573ED5" w:rsidRDefault="00573ED5" w:rsidP="00573ED5">
      <w:pPr>
        <w:pStyle w:val="ListParagraph"/>
        <w:numPr>
          <w:ilvl w:val="0"/>
          <w:numId w:val="47"/>
        </w:numPr>
        <w:spacing w:line="240" w:lineRule="auto"/>
      </w:pPr>
      <w:r>
        <w:t>Mike Petersen, The Lands Council</w:t>
      </w:r>
    </w:p>
    <w:p w:rsidR="00573ED5" w:rsidRDefault="00573ED5" w:rsidP="00573ED5">
      <w:pPr>
        <w:pStyle w:val="ListParagraph"/>
        <w:numPr>
          <w:ilvl w:val="0"/>
          <w:numId w:val="47"/>
        </w:numPr>
        <w:spacing w:line="240" w:lineRule="auto"/>
      </w:pPr>
      <w:r>
        <w:t>Doug Greenlund, City of Spokane</w:t>
      </w:r>
    </w:p>
    <w:p w:rsidR="00573ED5" w:rsidRDefault="00573ED5" w:rsidP="00573ED5">
      <w:pPr>
        <w:pStyle w:val="ListParagraph"/>
        <w:numPr>
          <w:ilvl w:val="0"/>
          <w:numId w:val="47"/>
        </w:numPr>
        <w:spacing w:line="240" w:lineRule="auto"/>
      </w:pPr>
      <w:r>
        <w:t>Kara Whitman, Ruckleshaus Center</w:t>
      </w:r>
    </w:p>
    <w:p w:rsidR="00573ED5" w:rsidRDefault="00573ED5" w:rsidP="00573ED5">
      <w:pPr>
        <w:pStyle w:val="ListParagraph"/>
        <w:numPr>
          <w:ilvl w:val="0"/>
          <w:numId w:val="47"/>
        </w:numPr>
        <w:spacing w:line="240" w:lineRule="auto"/>
      </w:pPr>
      <w:r>
        <w:t>Vikki Barthels, Spokane Regional Health District</w:t>
      </w:r>
    </w:p>
    <w:p w:rsidR="00573ED5" w:rsidRDefault="00573ED5" w:rsidP="00573ED5">
      <w:pPr>
        <w:pStyle w:val="ListParagraph"/>
        <w:numPr>
          <w:ilvl w:val="0"/>
          <w:numId w:val="47"/>
        </w:numPr>
        <w:spacing w:line="240" w:lineRule="auto"/>
      </w:pPr>
      <w:r>
        <w:t>Saskia VanBergen, Ecology’s Hazardous Waste &amp; Toxics Reduction Program</w:t>
      </w:r>
    </w:p>
    <w:p w:rsidR="00573ED5" w:rsidRDefault="00573ED5" w:rsidP="00573ED5">
      <w:pPr>
        <w:pStyle w:val="ListParagraph"/>
        <w:numPr>
          <w:ilvl w:val="0"/>
          <w:numId w:val="47"/>
        </w:numPr>
        <w:spacing w:line="240" w:lineRule="auto"/>
      </w:pPr>
      <w:r>
        <w:t>Adriane Borgias / Karin Baldwin, Ecology’s Water Quality Program</w:t>
      </w:r>
    </w:p>
    <w:p w:rsidR="00573ED5" w:rsidRDefault="00573ED5" w:rsidP="00945A41">
      <w:pPr>
        <w:spacing w:line="240" w:lineRule="auto"/>
      </w:pPr>
      <w:r>
        <w:t>* Need to include Michelle Mullen, EPA on future meetings.</w:t>
      </w:r>
    </w:p>
    <w:p w:rsidR="00573ED5" w:rsidRDefault="00573ED5" w:rsidP="00945A41">
      <w:pPr>
        <w:spacing w:line="240" w:lineRule="auto"/>
      </w:pPr>
    </w:p>
    <w:p w:rsidR="00573ED5" w:rsidRDefault="00573ED5" w:rsidP="00006475">
      <w:pPr>
        <w:spacing w:line="240" w:lineRule="auto"/>
        <w:ind w:left="0"/>
      </w:pPr>
      <w:r w:rsidRPr="00FF1711">
        <w:rPr>
          <w:rStyle w:val="Emphasis"/>
        </w:rPr>
        <w:t>Goal</w:t>
      </w:r>
      <w:r>
        <w:t>: Provide feedback and guidance to current and potential ongoing Green Chemistry efforts and solicit participation in future Green Chemistry efforts.</w:t>
      </w:r>
    </w:p>
    <w:p w:rsidR="00573ED5" w:rsidRDefault="00573ED5" w:rsidP="00945A41">
      <w:pPr>
        <w:spacing w:line="240" w:lineRule="auto"/>
      </w:pPr>
    </w:p>
    <w:p w:rsidR="00573ED5" w:rsidRDefault="00573ED5" w:rsidP="00006475">
      <w:pPr>
        <w:spacing w:line="240" w:lineRule="auto"/>
        <w:ind w:left="0"/>
      </w:pPr>
      <w:r w:rsidRPr="00FF1711">
        <w:rPr>
          <w:rStyle w:val="Emphasis"/>
        </w:rPr>
        <w:t>Meetings held</w:t>
      </w:r>
      <w:r>
        <w:t>:</w:t>
      </w:r>
    </w:p>
    <w:p w:rsidR="00573ED5" w:rsidRDefault="00573ED5" w:rsidP="00006475">
      <w:pPr>
        <w:spacing w:line="240" w:lineRule="auto"/>
        <w:ind w:left="0"/>
      </w:pPr>
      <w:r>
        <w:t>The group held two meetings during 2016:</w:t>
      </w:r>
    </w:p>
    <w:p w:rsidR="00573ED5" w:rsidRDefault="00573ED5" w:rsidP="00573ED5">
      <w:pPr>
        <w:pStyle w:val="ListParagraph"/>
        <w:numPr>
          <w:ilvl w:val="0"/>
          <w:numId w:val="48"/>
        </w:numPr>
        <w:spacing w:line="240" w:lineRule="auto"/>
        <w:ind w:left="810"/>
      </w:pPr>
      <w:r>
        <w:t>January 20, 2017</w:t>
      </w:r>
    </w:p>
    <w:p w:rsidR="00573ED5" w:rsidRDefault="00573ED5" w:rsidP="00573ED5">
      <w:pPr>
        <w:pStyle w:val="ListParagraph"/>
        <w:numPr>
          <w:ilvl w:val="0"/>
          <w:numId w:val="48"/>
        </w:numPr>
        <w:spacing w:line="240" w:lineRule="auto"/>
        <w:ind w:left="810"/>
      </w:pPr>
      <w:r>
        <w:t>October 27, 2017</w:t>
      </w:r>
    </w:p>
    <w:p w:rsidR="00573ED5" w:rsidRDefault="00573ED5" w:rsidP="00945A41">
      <w:pPr>
        <w:spacing w:line="240" w:lineRule="auto"/>
        <w:ind w:left="0"/>
      </w:pPr>
    </w:p>
    <w:p w:rsidR="00573ED5" w:rsidRDefault="00573ED5" w:rsidP="00006475">
      <w:pPr>
        <w:spacing w:line="240" w:lineRule="auto"/>
        <w:ind w:left="0"/>
      </w:pPr>
      <w:r w:rsidRPr="00FF1711">
        <w:rPr>
          <w:rStyle w:val="Emphasis"/>
        </w:rPr>
        <w:t>Control Actions address</w:t>
      </w:r>
      <w:r>
        <w:rPr>
          <w:rStyle w:val="Emphasis"/>
        </w:rPr>
        <w:t>ed</w:t>
      </w:r>
      <w:r>
        <w:t>:</w:t>
      </w:r>
    </w:p>
    <w:p w:rsidR="00573ED5" w:rsidRDefault="00573ED5" w:rsidP="00006475">
      <w:pPr>
        <w:spacing w:line="240" w:lineRule="auto"/>
        <w:ind w:left="0"/>
      </w:pPr>
      <w:r>
        <w:t xml:space="preserve">5.7 Category B: Support of Green Chemistry Alternatives </w:t>
      </w:r>
      <w:r w:rsidR="00006475">
        <w:t xml:space="preserve">– </w:t>
      </w:r>
      <w:r>
        <w:t>This control action promotes the reduction of inadvertent PCB production through the development of alternative (non-chlorinated) projects or products with reduced levels of PCBs.</w:t>
      </w:r>
    </w:p>
    <w:p w:rsidR="00573ED5" w:rsidRDefault="00573ED5" w:rsidP="00945A41">
      <w:pPr>
        <w:pStyle w:val="ListParagraph"/>
        <w:spacing w:line="240" w:lineRule="auto"/>
        <w:ind w:left="290"/>
      </w:pPr>
    </w:p>
    <w:p w:rsidR="00573ED5" w:rsidRPr="00E9139B" w:rsidRDefault="00573ED5" w:rsidP="00945A41">
      <w:pPr>
        <w:spacing w:line="240" w:lineRule="auto"/>
        <w:ind w:left="90"/>
        <w:rPr>
          <w:i/>
        </w:rPr>
      </w:pPr>
      <w:r w:rsidRPr="00E9139B">
        <w:rPr>
          <w:rStyle w:val="Emphasis"/>
        </w:rPr>
        <w:t>Progress made during 2017 includes:</w:t>
      </w:r>
      <w:r w:rsidRPr="00E9139B">
        <w:rPr>
          <w:i/>
        </w:rPr>
        <w:t xml:space="preserve"> </w:t>
      </w:r>
    </w:p>
    <w:p w:rsidR="00573ED5" w:rsidRDefault="00573ED5" w:rsidP="00573ED5">
      <w:pPr>
        <w:pStyle w:val="ListParagraph"/>
        <w:numPr>
          <w:ilvl w:val="0"/>
          <w:numId w:val="49"/>
        </w:numPr>
        <w:spacing w:line="240" w:lineRule="auto"/>
      </w:pPr>
      <w:r>
        <w:t>The workgroup generated a draft workplan and brainstormed projects and activities to use funding identified in the SRRTF-ACE’s contract.  The group decided to work on an outreach memo that would describe the issue, what the SRRTTF is hoping to accomplish, and advertise that we are seeking assistance or partners in finding PCB-free alternatives.</w:t>
      </w:r>
    </w:p>
    <w:p w:rsidR="00573ED5" w:rsidRDefault="00573ED5" w:rsidP="00573ED5">
      <w:pPr>
        <w:pStyle w:val="ListParagraph"/>
        <w:numPr>
          <w:ilvl w:val="0"/>
          <w:numId w:val="49"/>
        </w:numPr>
        <w:spacing w:line="240" w:lineRule="auto"/>
      </w:pPr>
      <w:r>
        <w:t xml:space="preserve">The workgroup’s efforts did not lead to activities performed by other work groups.  Rather, the Green Chemistry workgroup participated in meetings concerning alternative road paint to see if we could assist.  </w:t>
      </w:r>
    </w:p>
    <w:p w:rsidR="00573ED5" w:rsidRDefault="00573ED5" w:rsidP="00573ED5">
      <w:pPr>
        <w:pStyle w:val="ListParagraph"/>
        <w:numPr>
          <w:ilvl w:val="0"/>
          <w:numId w:val="49"/>
        </w:numPr>
        <w:spacing w:line="240" w:lineRule="auto"/>
      </w:pPr>
      <w:r>
        <w:t xml:space="preserve">Other people who are working to find alternative projects include Doug Krapas, Inland Empire Paper; Greg Lahti, Washington State Dept. of Transportation; and Dr. Lauren Heine, NW Green Chemistry. </w:t>
      </w:r>
    </w:p>
    <w:p w:rsidR="00573ED5" w:rsidRDefault="00573ED5" w:rsidP="00945A41">
      <w:pPr>
        <w:spacing w:line="240" w:lineRule="auto"/>
        <w:ind w:left="650"/>
      </w:pPr>
    </w:p>
    <w:p w:rsidR="00573ED5" w:rsidRDefault="00573ED5" w:rsidP="00006475">
      <w:pPr>
        <w:spacing w:line="240" w:lineRule="auto"/>
        <w:ind w:left="0"/>
      </w:pPr>
      <w:r>
        <w:t>The SRRTTF allocated $10,000 between July 1, 2017 and June 30, 2019 to engage with academia and other entities to advance Green Chemistry.  Half of the money should be spent in each state fiscal year.  No other funding sources have been dedicated to this work.   Workgroup members have each contributed at least three hours of their time in meetings and in reviewing notes.   The number of hours spent outside of meetings by workgroup members and others listed above is unknown.</w:t>
      </w:r>
    </w:p>
    <w:p w:rsidR="00573ED5" w:rsidRPr="00E9139B" w:rsidRDefault="00573ED5" w:rsidP="00006475">
      <w:pPr>
        <w:shd w:val="clear" w:color="auto" w:fill="FFFFFF"/>
        <w:spacing w:line="240" w:lineRule="auto"/>
        <w:ind w:left="0" w:right="0"/>
        <w:rPr>
          <w:rFonts w:ascii="Segoe UI" w:eastAsia="Times New Roman" w:hAnsi="Segoe UI" w:cs="Segoe UI"/>
          <w:color w:val="212121"/>
          <w:sz w:val="23"/>
          <w:szCs w:val="23"/>
        </w:rPr>
      </w:pPr>
      <w:r>
        <w:rPr>
          <w:rStyle w:val="Emphasis"/>
        </w:rPr>
        <w:t xml:space="preserve">The next steps for 2018 are to </w:t>
      </w:r>
      <w:r w:rsidRPr="00E9139B">
        <w:rPr>
          <w:rStyle w:val="Emphasis"/>
        </w:rPr>
        <w:t xml:space="preserve">finalize the workplan, develop the outreach memo, and complete tasks on the workplan. </w:t>
      </w:r>
    </w:p>
    <w:p w:rsidR="00573ED5" w:rsidRDefault="00573ED5" w:rsidP="00945A41">
      <w:pPr>
        <w:ind w:left="0"/>
      </w:pPr>
    </w:p>
    <w:p w:rsidR="00943FEB" w:rsidRPr="00A550FE" w:rsidRDefault="00943FEB" w:rsidP="00A550FE">
      <w:pPr>
        <w:spacing w:line="240" w:lineRule="auto"/>
        <w:ind w:left="0"/>
        <w:rPr>
          <w:rFonts w:eastAsia="Calibri" w:cstheme="minorHAnsi"/>
        </w:rPr>
        <w:sectPr w:rsidR="00943FEB" w:rsidRPr="00A550FE" w:rsidSect="00535565">
          <w:headerReference w:type="even" r:id="rId9"/>
          <w:headerReference w:type="default" r:id="rId10"/>
          <w:headerReference w:type="first" r:id="rId11"/>
          <w:pgSz w:w="12240" w:h="15840"/>
          <w:pgMar w:top="1440" w:right="1440" w:bottom="1440" w:left="1440" w:header="720" w:footer="720" w:gutter="0"/>
          <w:cols w:space="720"/>
          <w:docGrid w:linePitch="360"/>
        </w:sectPr>
      </w:pP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space="720"/>
          <w:docGrid w:linePitch="360"/>
        </w:sectPr>
      </w:pPr>
    </w:p>
    <w:p w:rsidR="00943FEB" w:rsidRPr="00A550FE" w:rsidRDefault="00943FEB" w:rsidP="00A550FE">
      <w:pPr>
        <w:spacing w:line="240" w:lineRule="auto"/>
        <w:ind w:left="0"/>
        <w:rPr>
          <w:rFonts w:eastAsia="Calibri" w:cstheme="minorHAnsi"/>
        </w:rPr>
      </w:pPr>
      <w:r w:rsidRPr="00A550FE">
        <w:rPr>
          <w:rFonts w:eastAsia="Calibri" w:cstheme="minorHAnsi"/>
        </w:rPr>
        <w:t>Vikki Barthels (Project Lead) –Spokane Regional Health District</w:t>
      </w:r>
    </w:p>
    <w:p w:rsidR="00943FEB" w:rsidRPr="00A550FE" w:rsidRDefault="00943FEB" w:rsidP="00A550FE">
      <w:pPr>
        <w:spacing w:line="240" w:lineRule="auto"/>
        <w:ind w:left="0"/>
        <w:rPr>
          <w:rFonts w:eastAsia="Calibri" w:cstheme="minorHAnsi"/>
        </w:rPr>
      </w:pPr>
      <w:r w:rsidRPr="00A550FE">
        <w:rPr>
          <w:rFonts w:eastAsia="Calibri" w:cstheme="minorHAnsi"/>
        </w:rPr>
        <w:t>Karin Baldwin –Ecology</w:t>
      </w:r>
    </w:p>
    <w:p w:rsidR="00943FEB" w:rsidRPr="00A550FE" w:rsidRDefault="00943FEB" w:rsidP="00A550FE">
      <w:pPr>
        <w:spacing w:line="240" w:lineRule="auto"/>
        <w:ind w:left="0"/>
        <w:rPr>
          <w:rFonts w:eastAsia="Calibri" w:cstheme="minorHAnsi"/>
        </w:rPr>
      </w:pPr>
      <w:r w:rsidRPr="00A550FE">
        <w:rPr>
          <w:rFonts w:eastAsia="Calibri" w:cstheme="minorHAnsi"/>
        </w:rPr>
        <w:t>Bruce Gryniewski (formerly the rep was Eric Williams) –Inland Empire Paper</w:t>
      </w:r>
    </w:p>
    <w:p w:rsidR="00943FEB" w:rsidRPr="00A550FE" w:rsidRDefault="00943FEB" w:rsidP="00A550FE">
      <w:pPr>
        <w:spacing w:line="240" w:lineRule="auto"/>
        <w:ind w:left="0"/>
        <w:rPr>
          <w:rFonts w:eastAsia="Calibri" w:cstheme="minorHAnsi"/>
        </w:rPr>
      </w:pPr>
      <w:r w:rsidRPr="00A550FE">
        <w:rPr>
          <w:rFonts w:eastAsia="Calibri" w:cstheme="minorHAnsi"/>
        </w:rPr>
        <w:t>Joani Havens–Spokane Regional Health District</w:t>
      </w:r>
    </w:p>
    <w:p w:rsidR="00943FEB" w:rsidRPr="00A550FE" w:rsidRDefault="00943FEB" w:rsidP="00A550FE">
      <w:pPr>
        <w:spacing w:line="240" w:lineRule="auto"/>
        <w:ind w:left="0"/>
        <w:rPr>
          <w:rFonts w:eastAsia="Calibri" w:cstheme="minorHAnsi"/>
        </w:rPr>
      </w:pPr>
      <w:r w:rsidRPr="00A550FE">
        <w:rPr>
          <w:rFonts w:eastAsia="Calibri" w:cstheme="minorHAnsi"/>
        </w:rPr>
        <w:t>Mike LaScuola –Spokane Regional Health District</w:t>
      </w:r>
    </w:p>
    <w:p w:rsidR="00943FEB" w:rsidRPr="00A550FE" w:rsidRDefault="00943FEB" w:rsidP="00A550FE">
      <w:pPr>
        <w:spacing w:line="240" w:lineRule="auto"/>
        <w:ind w:left="0"/>
        <w:rPr>
          <w:rFonts w:eastAsia="Calibri" w:cstheme="minorHAnsi"/>
        </w:rPr>
      </w:pPr>
      <w:r w:rsidRPr="00A550FE">
        <w:rPr>
          <w:rFonts w:eastAsia="Calibri" w:cstheme="minorHAnsi"/>
        </w:rPr>
        <w:t>Amanda Parish –Lands Council</w:t>
      </w:r>
    </w:p>
    <w:p w:rsidR="00943FEB" w:rsidRPr="00A550FE" w:rsidRDefault="00943FEB" w:rsidP="00A550FE">
      <w:pPr>
        <w:spacing w:line="240" w:lineRule="auto"/>
        <w:ind w:left="0"/>
        <w:rPr>
          <w:rFonts w:eastAsia="Calibri" w:cstheme="minorHAnsi"/>
        </w:rPr>
      </w:pPr>
      <w:r w:rsidRPr="00A550FE">
        <w:rPr>
          <w:rFonts w:eastAsia="Calibri" w:cstheme="minorHAnsi"/>
        </w:rPr>
        <w:t>Tracy Stevens –City of Spokane</w:t>
      </w:r>
    </w:p>
    <w:p w:rsidR="00943FEB" w:rsidRPr="00A550FE" w:rsidRDefault="00943FEB" w:rsidP="00A550FE">
      <w:pPr>
        <w:spacing w:line="240" w:lineRule="auto"/>
        <w:ind w:left="0"/>
        <w:rPr>
          <w:rFonts w:eastAsia="Calibri" w:cstheme="minorHAnsi"/>
        </w:rPr>
      </w:pPr>
      <w:r w:rsidRPr="00A550FE">
        <w:rPr>
          <w:rFonts w:eastAsia="Calibri" w:cstheme="minorHAnsi"/>
        </w:rPr>
        <w:t>Toni Taylor – Spokane County</w:t>
      </w:r>
    </w:p>
    <w:p w:rsidR="00943FEB" w:rsidRPr="00A550FE" w:rsidRDefault="00943FEB" w:rsidP="00A550FE">
      <w:pPr>
        <w:spacing w:line="240" w:lineRule="auto"/>
        <w:ind w:left="0"/>
        <w:rPr>
          <w:rFonts w:eastAsia="Calibri" w:cstheme="minorHAnsi"/>
        </w:rPr>
      </w:pPr>
      <w:r w:rsidRPr="00A550FE">
        <w:rPr>
          <w:rFonts w:eastAsia="Calibri" w:cstheme="minorHAnsi"/>
        </w:rPr>
        <w:t>Jerry White –Riverkeeper</w:t>
      </w:r>
    </w:p>
    <w:p w:rsidR="00943FEB" w:rsidRPr="00A550FE" w:rsidRDefault="00943FEB" w:rsidP="00A550FE">
      <w:pPr>
        <w:spacing w:line="240" w:lineRule="auto"/>
        <w:ind w:left="0"/>
        <w:rPr>
          <w:rFonts w:eastAsia="Calibri" w:cstheme="minorHAnsi"/>
        </w:rPr>
      </w:pPr>
      <w:r w:rsidRPr="00A550FE">
        <w:rPr>
          <w:rFonts w:eastAsia="Calibri" w:cstheme="minorHAnsi"/>
        </w:rPr>
        <w:t>Kara Whitman –Ruckelshaus Center</w:t>
      </w:r>
    </w:p>
    <w:p w:rsidR="00943FEB" w:rsidRPr="00A550FE" w:rsidRDefault="00943FEB" w:rsidP="00A550FE">
      <w:pPr>
        <w:spacing w:line="240" w:lineRule="auto"/>
        <w:ind w:left="0"/>
        <w:rPr>
          <w:rFonts w:eastAsia="Calibri" w:cstheme="minorHAnsi"/>
        </w:rPr>
      </w:pPr>
      <w:r w:rsidRPr="00A550FE">
        <w:rPr>
          <w:rFonts w:eastAsia="Calibri" w:cstheme="minorHAnsi"/>
        </w:rPr>
        <w:t>Kristin Zimmer –City of Spokane</w:t>
      </w: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num="2" w:space="360"/>
          <w:docGrid w:linePitch="360"/>
        </w:sectPr>
      </w:pP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Goal of the work group:</w:t>
      </w:r>
    </w:p>
    <w:p w:rsidR="00943FEB" w:rsidRPr="00A550FE" w:rsidRDefault="00943FEB" w:rsidP="00A550FE">
      <w:pPr>
        <w:spacing w:line="240" w:lineRule="auto"/>
        <w:ind w:left="0"/>
        <w:rPr>
          <w:rFonts w:eastAsia="Calibri" w:cstheme="minorHAnsi"/>
          <w:b/>
        </w:rPr>
      </w:pPr>
      <w:r w:rsidRPr="00A550FE">
        <w:rPr>
          <w:rFonts w:eastAsia="Calibri" w:cstheme="minorHAnsi"/>
        </w:rPr>
        <w:t>From the Comp Plan page 68 “</w:t>
      </w:r>
      <w:r w:rsidRPr="00A550FE">
        <w:rPr>
          <w:rFonts w:eastAsia="Calibri" w:cstheme="minorHAnsi"/>
          <w:i/>
        </w:rPr>
        <w:t>SRRTTF outreach and education will focus on effectively changing behaviors to reduce toxics in the Spokane River. An ongoing Education and Outreach work group will explore additional funding to enhance existing member educational efforts. The group will implement a comprehensive outreach strategy with measurable targets to assess implementation and outreach effectiveness. To that end, the SRRTTF will also optimize existing opportunities (events/media) to change behaviors and reduce PCB loading to the Spokane River</w:t>
      </w:r>
      <w:r w:rsidRPr="00A550FE">
        <w:rPr>
          <w:rFonts w:eastAsia="Calibri" w:cstheme="minorHAnsi"/>
        </w:rPr>
        <w:t>.”</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Meetings held and date of meetings if known:</w:t>
      </w:r>
    </w:p>
    <w:p w:rsidR="00943FEB" w:rsidRPr="00A550FE" w:rsidRDefault="00943FEB" w:rsidP="00A550FE">
      <w:pPr>
        <w:spacing w:line="240" w:lineRule="auto"/>
        <w:ind w:left="0"/>
        <w:rPr>
          <w:rFonts w:eastAsia="Calibri" w:cstheme="minorHAnsi"/>
        </w:rPr>
      </w:pPr>
      <w:r w:rsidRPr="00A550FE">
        <w:rPr>
          <w:rFonts w:eastAsia="Calibri" w:cstheme="minorHAnsi"/>
        </w:rPr>
        <w:t>The Education and Outreach Work Group held 7 meetings in 2017 (all running for 2 or more hours in length), amounting to approximately 17 per member hours of face to face time and 30 + hours of Task Force specific work product (website, posters, work plan) time outside of the meetings.  Individual Entities have their own outreach programs that are concurrently addressing PCBs and other Toxics in the region.</w:t>
      </w: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space="720"/>
          <w:docGrid w:linePitch="360"/>
        </w:sectPr>
      </w:pPr>
    </w:p>
    <w:p w:rsidR="00943FEB" w:rsidRPr="00A550FE" w:rsidRDefault="00943FEB" w:rsidP="004F6DBF">
      <w:pPr>
        <w:spacing w:line="240" w:lineRule="auto"/>
        <w:ind w:left="0" w:firstLine="720"/>
        <w:rPr>
          <w:rFonts w:eastAsia="Calibri" w:cstheme="minorHAnsi"/>
        </w:rPr>
      </w:pPr>
      <w:r w:rsidRPr="00A550FE">
        <w:rPr>
          <w:rFonts w:eastAsia="Calibri" w:cstheme="minorHAnsi"/>
        </w:rPr>
        <w:t>January 4, 2017</w:t>
      </w:r>
    </w:p>
    <w:p w:rsidR="00943FEB" w:rsidRPr="00A550FE" w:rsidRDefault="00943FEB" w:rsidP="004F6DBF">
      <w:pPr>
        <w:spacing w:line="240" w:lineRule="auto"/>
        <w:ind w:left="0" w:firstLine="720"/>
        <w:rPr>
          <w:rFonts w:eastAsia="Calibri" w:cstheme="minorHAnsi"/>
        </w:rPr>
      </w:pPr>
      <w:r w:rsidRPr="00A550FE">
        <w:rPr>
          <w:rFonts w:eastAsia="Calibri" w:cstheme="minorHAnsi"/>
        </w:rPr>
        <w:t>February 1, 2017</w:t>
      </w:r>
    </w:p>
    <w:p w:rsidR="00943FEB" w:rsidRPr="00A550FE" w:rsidRDefault="00943FEB" w:rsidP="004F6DBF">
      <w:pPr>
        <w:spacing w:line="240" w:lineRule="auto"/>
        <w:ind w:left="0" w:firstLine="720"/>
        <w:rPr>
          <w:rFonts w:eastAsia="Calibri" w:cstheme="minorHAnsi"/>
        </w:rPr>
      </w:pPr>
      <w:r w:rsidRPr="00A550FE">
        <w:rPr>
          <w:rFonts w:eastAsia="Calibri" w:cstheme="minorHAnsi"/>
        </w:rPr>
        <w:t>April 5, 2017</w:t>
      </w:r>
    </w:p>
    <w:p w:rsidR="00943FEB" w:rsidRPr="00A550FE" w:rsidRDefault="00943FEB" w:rsidP="004F6DBF">
      <w:pPr>
        <w:spacing w:line="240" w:lineRule="auto"/>
        <w:ind w:left="0" w:firstLine="720"/>
        <w:rPr>
          <w:rFonts w:eastAsia="Calibri" w:cstheme="minorHAnsi"/>
        </w:rPr>
      </w:pPr>
      <w:r w:rsidRPr="00A550FE">
        <w:rPr>
          <w:rFonts w:eastAsia="Calibri" w:cstheme="minorHAnsi"/>
        </w:rPr>
        <w:t>June 7, 2017</w:t>
      </w:r>
    </w:p>
    <w:p w:rsidR="00943FEB" w:rsidRPr="00A550FE" w:rsidRDefault="00943FEB" w:rsidP="00A550FE">
      <w:pPr>
        <w:spacing w:line="240" w:lineRule="auto"/>
        <w:ind w:left="0"/>
        <w:rPr>
          <w:rFonts w:eastAsia="Calibri" w:cstheme="minorHAnsi"/>
        </w:rPr>
      </w:pPr>
      <w:r w:rsidRPr="00A550FE">
        <w:rPr>
          <w:rFonts w:eastAsia="Calibri" w:cstheme="minorHAnsi"/>
        </w:rPr>
        <w:t>September 6, 2017</w:t>
      </w:r>
    </w:p>
    <w:p w:rsidR="00943FEB" w:rsidRPr="00A550FE" w:rsidRDefault="00943FEB" w:rsidP="00A550FE">
      <w:pPr>
        <w:spacing w:line="240" w:lineRule="auto"/>
        <w:ind w:left="0"/>
        <w:rPr>
          <w:rFonts w:eastAsia="Calibri" w:cstheme="minorHAnsi"/>
        </w:rPr>
      </w:pPr>
      <w:r w:rsidRPr="00A550FE">
        <w:rPr>
          <w:rFonts w:eastAsia="Calibri" w:cstheme="minorHAnsi"/>
        </w:rPr>
        <w:t>October 4, 2017</w:t>
      </w:r>
    </w:p>
    <w:p w:rsidR="00943FEB" w:rsidRPr="00A550FE" w:rsidRDefault="00943FEB" w:rsidP="00A550FE">
      <w:pPr>
        <w:spacing w:line="240" w:lineRule="auto"/>
        <w:ind w:left="0"/>
        <w:rPr>
          <w:rFonts w:eastAsia="Calibri" w:cstheme="minorHAnsi"/>
        </w:rPr>
      </w:pPr>
      <w:r w:rsidRPr="00A550FE">
        <w:rPr>
          <w:rFonts w:eastAsia="Calibri" w:cstheme="minorHAnsi"/>
        </w:rPr>
        <w:t>November 8, 2017</w:t>
      </w: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num="2" w:space="720"/>
          <w:docGrid w:linePitch="360"/>
        </w:sectPr>
      </w:pPr>
    </w:p>
    <w:p w:rsidR="004F6DBF" w:rsidRDefault="004F6DBF" w:rsidP="00A550FE">
      <w:pPr>
        <w:spacing w:line="240" w:lineRule="auto"/>
        <w:ind w:left="0"/>
        <w:rPr>
          <w:rFonts w:eastAsia="Calibri" w:cstheme="minorHAnsi"/>
          <w:i/>
          <w:u w:val="single"/>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 xml:space="preserve">Control Actions the Work Group is addressing: </w:t>
      </w:r>
    </w:p>
    <w:p w:rsidR="00943FEB" w:rsidRPr="00A550FE" w:rsidRDefault="00943FEB" w:rsidP="00A550FE">
      <w:pPr>
        <w:spacing w:line="240" w:lineRule="auto"/>
        <w:ind w:left="0"/>
        <w:rPr>
          <w:rFonts w:eastAsia="Calibri" w:cstheme="minorHAnsi"/>
        </w:rPr>
      </w:pPr>
      <w:r w:rsidRPr="00A550FE">
        <w:rPr>
          <w:rFonts w:eastAsia="Calibri" w:cstheme="minorHAnsi"/>
        </w:rPr>
        <w:t xml:space="preserve">This work group is addressing public education and outreach on all control actions in the comp plan. See summary table below. </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rPr>
      </w:pPr>
      <w:r w:rsidRPr="00A550FE">
        <w:rPr>
          <w:rFonts w:eastAsia="Calibri" w:cstheme="minorHAnsi"/>
        </w:rPr>
        <w:t>The Education and Outreach Work Group drafted a press release for the Comprehensive Plan which was unanimously approved of by the full Task Force and then distributed to the appropriate venues. For the majority of 2017 the Education and Outreach work group focused their efforts on the development of a website to house all Task Force and affiliated web source information on PCBs and other toxics. This website is currently in development and should go live in early 2018. The Task Force also developed a work plan and revised/updated the Task Force outreach posters for the Spokane River Forum. Toni Taylor also developed a new panel for the poster display that focuses on what the public can do to partner in the effort to reduce sources of PCBs to the River. The work group held multiple work session to discuss messaging, methods for communicating with the public and getting desired behavioral changes that will lead to reduction of sources of PCBs to the river. Mike LaScuola provided the group presentations on S</w:t>
      </w:r>
      <w:hyperlink r:id="rId12" w:history="1">
        <w:r w:rsidRPr="00A550FE">
          <w:rPr>
            <w:rFonts w:eastAsia="Calibri" w:cstheme="minorHAnsi"/>
            <w:color w:val="0563C1"/>
            <w:u w:val="single"/>
          </w:rPr>
          <w:t>ocial Marketing Campaign Development</w:t>
        </w:r>
      </w:hyperlink>
      <w:r w:rsidRPr="00A550FE">
        <w:rPr>
          <w:rFonts w:eastAsia="Calibri" w:cstheme="minorHAnsi"/>
        </w:rPr>
        <w:t xml:space="preserve">, and </w:t>
      </w:r>
      <w:hyperlink r:id="rId13" w:history="1">
        <w:r w:rsidRPr="00A550FE">
          <w:rPr>
            <w:rFonts w:eastAsia="Calibri" w:cstheme="minorHAnsi"/>
            <w:color w:val="0563C1"/>
            <w:u w:val="single"/>
          </w:rPr>
          <w:t>the Communications Continuum</w:t>
        </w:r>
      </w:hyperlink>
      <w:r w:rsidRPr="00A550FE">
        <w:rPr>
          <w:rFonts w:eastAsia="Calibri" w:cstheme="minorHAnsi"/>
        </w:rPr>
        <w:t xml:space="preserve"> to assist in the development of the Task Force outreach website. The website will be housed at </w:t>
      </w:r>
      <w:hyperlink r:id="rId14" w:history="1">
        <w:r w:rsidRPr="00A550FE">
          <w:rPr>
            <w:rFonts w:eastAsia="Calibri" w:cstheme="minorHAnsi"/>
            <w:color w:val="0563C1"/>
            <w:u w:val="single"/>
          </w:rPr>
          <w:t>http://www.spokaneriverpcbfree.org/</w:t>
        </w:r>
      </w:hyperlink>
      <w:r w:rsidRPr="00A550FE">
        <w:rPr>
          <w:rFonts w:eastAsia="Calibri" w:cstheme="minorHAnsi"/>
        </w:rPr>
        <w:t xml:space="preserve"> </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Other Related Activities:</w:t>
      </w:r>
    </w:p>
    <w:p w:rsidR="00943FEB" w:rsidRPr="00A550FE" w:rsidRDefault="00943FEB" w:rsidP="00A550FE">
      <w:pPr>
        <w:numPr>
          <w:ilvl w:val="0"/>
          <w:numId w:val="44"/>
        </w:numPr>
        <w:spacing w:line="240" w:lineRule="auto"/>
        <w:contextualSpacing/>
        <w:rPr>
          <w:rFonts w:eastAsia="Calibri" w:cstheme="minorHAnsi"/>
        </w:rPr>
      </w:pPr>
      <w:r w:rsidRPr="00A550FE">
        <w:rPr>
          <w:rFonts w:eastAsia="Calibri" w:cstheme="minorHAnsi"/>
        </w:rPr>
        <w:t>WSU Student Brenden Campbell: Interviews of outreach work group members and web search to identify outreach activities in the region.</w:t>
      </w:r>
    </w:p>
    <w:p w:rsidR="00943FEB" w:rsidRPr="00A550FE" w:rsidRDefault="00943FEB" w:rsidP="00A550FE">
      <w:pPr>
        <w:numPr>
          <w:ilvl w:val="0"/>
          <w:numId w:val="44"/>
        </w:numPr>
        <w:spacing w:line="240" w:lineRule="auto"/>
        <w:contextualSpacing/>
        <w:rPr>
          <w:rFonts w:eastAsia="Calibri" w:cstheme="minorHAnsi"/>
        </w:rPr>
      </w:pPr>
      <w:r w:rsidRPr="00A550FE">
        <w:rPr>
          <w:rFonts w:eastAsia="Calibri" w:cstheme="minorHAnsi"/>
        </w:rPr>
        <w:t xml:space="preserve">WSU Student Meghan Harris: Currently developing an outreach video using Task Force video interviews and information from the Task Force posters. Meghan is also in contact with Sundae Delgado of DES who is working on public outreach on PCBs as they put forth the State PCB purchasing policy. </w:t>
      </w: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Next Steps:</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Develop a work plan for 2018</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Complete the outreach website</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Develop actions to utilize the allocated funding from the Task Force ($10,000)</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Consider applying for additional grant funding</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Further consider a regional outreach approach on “toxics” – connect with other partners not affiliated with the Task Force</w:t>
      </w:r>
    </w:p>
    <w:p w:rsidR="00943FEB" w:rsidRPr="00A550FE" w:rsidRDefault="00943FEB" w:rsidP="00A550FE">
      <w:pPr>
        <w:spacing w:line="240" w:lineRule="auto"/>
        <w:contextualSpacing/>
        <w:rPr>
          <w:rFonts w:eastAsia="Calibri" w:cstheme="minorHAnsi"/>
        </w:rPr>
      </w:pPr>
    </w:p>
    <w:p w:rsidR="00943FEB" w:rsidRPr="00A550FE" w:rsidRDefault="00943FEB" w:rsidP="00A550FE">
      <w:pPr>
        <w:spacing w:line="240" w:lineRule="auto"/>
        <w:contextualSpacing/>
        <w:rPr>
          <w:rFonts w:eastAsia="Calibri" w:cstheme="minorHAnsi"/>
        </w:rPr>
      </w:pPr>
      <w:r w:rsidRPr="00A550FE">
        <w:rPr>
          <w:rFonts w:eastAsia="Calibri" w:cstheme="minorHAnsi"/>
        </w:rPr>
        <w:t xml:space="preserve">See chart below for control actions the Work group is addressing at an outreach level. </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space="720"/>
          <w:docGrid w:linePitch="360"/>
        </w:sectPr>
      </w:pPr>
    </w:p>
    <w:p w:rsidR="00943FEB" w:rsidRPr="00A550FE" w:rsidRDefault="00943FEB" w:rsidP="00A550FE">
      <w:pPr>
        <w:spacing w:line="240" w:lineRule="auto"/>
        <w:ind w:left="0"/>
        <w:rPr>
          <w:rFonts w:eastAsia="Calibri" w:cstheme="minorHAnsi"/>
        </w:rPr>
      </w:pPr>
    </w:p>
    <w:p w:rsidR="00943FEB" w:rsidRPr="00A550FE" w:rsidRDefault="00943FEB" w:rsidP="00A550FE">
      <w:pPr>
        <w:spacing w:after="160" w:line="240" w:lineRule="auto"/>
        <w:ind w:left="0" w:right="0"/>
        <w:rPr>
          <w:rFonts w:eastAsia="Calibri" w:cstheme="minorHAnsi"/>
        </w:rPr>
      </w:pPr>
      <w:r w:rsidRPr="00A550FE">
        <w:rPr>
          <w:rFonts w:eastAsia="Calibri" w:cstheme="minorHAnsi"/>
        </w:rPr>
        <w:br w:type="page"/>
      </w:r>
    </w:p>
    <w:p w:rsidR="00943FEB" w:rsidRPr="00A550FE" w:rsidRDefault="00943FEB" w:rsidP="00A550FE">
      <w:pPr>
        <w:shd w:val="clear" w:color="auto" w:fill="FFFFFF"/>
        <w:spacing w:line="240" w:lineRule="auto"/>
        <w:ind w:left="810" w:right="0"/>
        <w:contextualSpacing/>
        <w:rPr>
          <w:rFonts w:eastAsia="Times New Roman" w:cstheme="minorHAnsi"/>
          <w:color w:val="212121"/>
        </w:rPr>
        <w:sectPr w:rsidR="00943FEB" w:rsidRPr="00A550FE" w:rsidSect="00535565">
          <w:type w:val="continuous"/>
          <w:pgSz w:w="12240" w:h="15840"/>
          <w:pgMar w:top="1440" w:right="1440" w:bottom="1440" w:left="1440" w:header="720" w:footer="720" w:gutter="0"/>
          <w:cols w:space="720"/>
          <w:docGrid w:linePitch="360"/>
        </w:sectPr>
      </w:pPr>
    </w:p>
    <w:p w:rsidR="00943FEB" w:rsidRPr="00A550FE" w:rsidRDefault="00943FEB" w:rsidP="00A550FE">
      <w:pPr>
        <w:widowControl w:val="0"/>
        <w:autoSpaceDE w:val="0"/>
        <w:autoSpaceDN w:val="0"/>
        <w:spacing w:before="5" w:line="240" w:lineRule="auto"/>
        <w:ind w:left="0" w:right="0"/>
        <w:rPr>
          <w:rFonts w:eastAsia="Calibri" w:cstheme="minorHAnsi"/>
        </w:rPr>
      </w:pPr>
    </w:p>
    <w:tbl>
      <w:tblPr>
        <w:tblW w:w="133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790"/>
        <w:gridCol w:w="1360"/>
        <w:gridCol w:w="3150"/>
        <w:gridCol w:w="1080"/>
        <w:gridCol w:w="2430"/>
        <w:gridCol w:w="2070"/>
      </w:tblGrid>
      <w:tr w:rsidR="00943FEB" w:rsidRPr="00A550FE" w:rsidTr="00006475">
        <w:trPr>
          <w:trHeight w:val="420"/>
        </w:trPr>
        <w:tc>
          <w:tcPr>
            <w:tcW w:w="144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Item</w:t>
            </w:r>
          </w:p>
        </w:tc>
        <w:tc>
          <w:tcPr>
            <w:tcW w:w="179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Action</w:t>
            </w:r>
          </w:p>
        </w:tc>
        <w:tc>
          <w:tcPr>
            <w:tcW w:w="136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006475">
              <w:rPr>
                <w:rFonts w:eastAsia="Calibri" w:cstheme="minorHAnsi"/>
                <w:b/>
                <w:sz w:val="20"/>
              </w:rPr>
              <w:t>Responsibility</w:t>
            </w:r>
          </w:p>
        </w:tc>
        <w:tc>
          <w:tcPr>
            <w:tcW w:w="315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Education and Outreach Work</w:t>
            </w:r>
          </w:p>
          <w:p w:rsidR="00943FEB" w:rsidRPr="00A550FE" w:rsidRDefault="00943FEB" w:rsidP="00A550FE">
            <w:pPr>
              <w:widowControl w:val="0"/>
              <w:autoSpaceDE w:val="0"/>
              <w:autoSpaceDN w:val="0"/>
              <w:spacing w:before="1" w:line="240" w:lineRule="auto"/>
              <w:ind w:left="102" w:right="0"/>
              <w:rPr>
                <w:rFonts w:eastAsia="Calibri" w:cstheme="minorHAnsi"/>
                <w:b/>
              </w:rPr>
            </w:pPr>
            <w:r w:rsidRPr="00A550FE">
              <w:rPr>
                <w:rFonts w:eastAsia="Calibri" w:cstheme="minorHAnsi"/>
                <w:b/>
              </w:rPr>
              <w:t>Group Role/Action</w:t>
            </w:r>
          </w:p>
        </w:tc>
        <w:tc>
          <w:tcPr>
            <w:tcW w:w="108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006475">
              <w:rPr>
                <w:rFonts w:eastAsia="Calibri" w:cstheme="minorHAnsi"/>
                <w:b/>
                <w:sz w:val="20"/>
              </w:rPr>
              <w:t>Timeframe</w:t>
            </w:r>
          </w:p>
        </w:tc>
        <w:tc>
          <w:tcPr>
            <w:tcW w:w="243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Key Messages</w:t>
            </w:r>
          </w:p>
        </w:tc>
        <w:tc>
          <w:tcPr>
            <w:tcW w:w="207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Comments</w:t>
            </w:r>
          </w:p>
        </w:tc>
      </w:tr>
      <w:tr w:rsidR="00943FEB" w:rsidRPr="00A550FE" w:rsidTr="00006475">
        <w:trPr>
          <w:trHeight w:val="2400"/>
        </w:trPr>
        <w:tc>
          <w:tcPr>
            <w:tcW w:w="1440" w:type="dxa"/>
            <w:vMerge w:val="restart"/>
          </w:tcPr>
          <w:p w:rsidR="00943FEB" w:rsidRPr="00A550FE" w:rsidRDefault="00943FEB" w:rsidP="00A550FE">
            <w:pPr>
              <w:widowControl w:val="0"/>
              <w:autoSpaceDE w:val="0"/>
              <w:autoSpaceDN w:val="0"/>
              <w:spacing w:line="240" w:lineRule="auto"/>
              <w:ind w:left="102" w:right="100"/>
              <w:rPr>
                <w:rFonts w:eastAsia="Calibri" w:cstheme="minorHAnsi"/>
              </w:rPr>
            </w:pPr>
            <w:r w:rsidRPr="00A550FE">
              <w:rPr>
                <w:rFonts w:eastAsia="Calibri" w:cstheme="minorHAnsi"/>
              </w:rPr>
              <w:t>5.1.1 Idaho Municipal Permits</w:t>
            </w:r>
          </w:p>
        </w:tc>
        <w:tc>
          <w:tcPr>
            <w:tcW w:w="179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Develop and Implement Public Education Program</w:t>
            </w:r>
          </w:p>
        </w:tc>
        <w:tc>
          <w:tcPr>
            <w:tcW w:w="1360" w:type="dxa"/>
            <w:vMerge w:val="restart"/>
          </w:tcPr>
          <w:p w:rsidR="00943FEB" w:rsidRPr="00A550FE" w:rsidRDefault="00943FEB" w:rsidP="00A550FE">
            <w:pPr>
              <w:widowControl w:val="0"/>
              <w:autoSpaceDE w:val="0"/>
              <w:autoSpaceDN w:val="0"/>
              <w:spacing w:line="240" w:lineRule="auto"/>
              <w:ind w:left="102" w:right="450"/>
              <w:rPr>
                <w:rFonts w:eastAsia="Calibri" w:cstheme="minorHAnsi"/>
              </w:rPr>
            </w:pPr>
            <w:r w:rsidRPr="00A550FE">
              <w:rPr>
                <w:rFonts w:eastAsia="Calibri" w:cstheme="minorHAnsi"/>
              </w:rPr>
              <w:t>Coeur d’Alene Post Falls HARSB</w:t>
            </w:r>
          </w:p>
        </w:tc>
        <w:tc>
          <w:tcPr>
            <w:tcW w:w="3150" w:type="dxa"/>
          </w:tcPr>
          <w:p w:rsidR="00943FEB" w:rsidRPr="00A550FE" w:rsidRDefault="00943FEB" w:rsidP="00A550FE">
            <w:pPr>
              <w:widowControl w:val="0"/>
              <w:autoSpaceDE w:val="0"/>
              <w:autoSpaceDN w:val="0"/>
              <w:spacing w:line="240" w:lineRule="auto"/>
              <w:ind w:left="102" w:right="154"/>
              <w:jc w:val="both"/>
              <w:rPr>
                <w:rFonts w:eastAsia="Calibri" w:cstheme="minorHAnsi"/>
              </w:rPr>
            </w:pPr>
            <w:r w:rsidRPr="00A550FE">
              <w:rPr>
                <w:rFonts w:eastAsia="Calibri" w:cstheme="minorHAnsi"/>
              </w:rPr>
              <w:t>-Inventory of existing education and outreach activities on PCBs/toxics in the Spokane River Basin</w:t>
            </w:r>
          </w:p>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can access and utilize as needed.</w:t>
            </w:r>
          </w:p>
          <w:p w:rsidR="00943FEB" w:rsidRPr="00A550FE" w:rsidRDefault="00943FEB" w:rsidP="00A550FE">
            <w:pPr>
              <w:widowControl w:val="0"/>
              <w:autoSpaceDE w:val="0"/>
              <w:autoSpaceDN w:val="0"/>
              <w:spacing w:line="240" w:lineRule="auto"/>
              <w:ind w:left="102" w:right="103"/>
              <w:rPr>
                <w:rFonts w:eastAsia="Calibri" w:cstheme="minorHAnsi"/>
              </w:rPr>
            </w:pPr>
            <w:r w:rsidRPr="00A550FE">
              <w:rPr>
                <w:rFonts w:eastAsia="Calibri" w:cstheme="minorHAnsi"/>
              </w:rPr>
              <w:t>Check in with CDA, Post Falls, and HARSB every 6 months to determine if there are more outreach materials</w:t>
            </w:r>
          </w:p>
          <w:p w:rsidR="00943FEB" w:rsidRPr="00A550FE" w:rsidRDefault="00943FEB" w:rsidP="00A550FE">
            <w:pPr>
              <w:widowControl w:val="0"/>
              <w:autoSpaceDE w:val="0"/>
              <w:autoSpaceDN w:val="0"/>
              <w:spacing w:before="2" w:line="240" w:lineRule="auto"/>
              <w:ind w:left="102" w:right="0"/>
              <w:rPr>
                <w:rFonts w:eastAsia="Calibri" w:cstheme="minorHAnsi"/>
              </w:rPr>
            </w:pPr>
            <w:r w:rsidRPr="00A550FE">
              <w:rPr>
                <w:rFonts w:eastAsia="Calibri" w:cstheme="minorHAnsi"/>
              </w:rPr>
              <w:t>needed.</w:t>
            </w:r>
          </w:p>
        </w:tc>
        <w:tc>
          <w:tcPr>
            <w:tcW w:w="1080" w:type="dxa"/>
            <w:vMerge w:val="restart"/>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1/year – web page complete</w:t>
            </w:r>
          </w:p>
        </w:tc>
        <w:tc>
          <w:tcPr>
            <w:tcW w:w="2430" w:type="dxa"/>
          </w:tcPr>
          <w:p w:rsidR="00943FEB" w:rsidRPr="00A550FE" w:rsidRDefault="00943FEB" w:rsidP="00A550FE">
            <w:pPr>
              <w:widowControl w:val="0"/>
              <w:numPr>
                <w:ilvl w:val="0"/>
                <w:numId w:val="42"/>
              </w:numPr>
              <w:tabs>
                <w:tab w:val="left" w:pos="460"/>
                <w:tab w:val="left" w:pos="461"/>
              </w:tabs>
              <w:autoSpaceDE w:val="0"/>
              <w:autoSpaceDN w:val="0"/>
              <w:spacing w:line="240" w:lineRule="auto"/>
              <w:ind w:right="195"/>
              <w:rPr>
                <w:rFonts w:eastAsia="Calibri" w:cstheme="minorHAnsi"/>
              </w:rPr>
            </w:pPr>
            <w:r w:rsidRPr="00A550FE">
              <w:rPr>
                <w:rFonts w:eastAsia="Calibri" w:cstheme="minorHAnsi"/>
              </w:rPr>
              <w:t>Difference between PCB free and non-PCB products containing</w:t>
            </w:r>
            <w:r w:rsidRPr="00A550FE">
              <w:rPr>
                <w:rFonts w:eastAsia="Calibri" w:cstheme="minorHAnsi"/>
                <w:spacing w:val="-10"/>
              </w:rPr>
              <w:t xml:space="preserve"> </w:t>
            </w:r>
            <w:r w:rsidRPr="00A550FE">
              <w:rPr>
                <w:rFonts w:eastAsia="Calibri" w:cstheme="minorHAnsi"/>
              </w:rPr>
              <w:t>PCBs</w:t>
            </w:r>
          </w:p>
          <w:p w:rsidR="00943FEB" w:rsidRPr="00A550FE" w:rsidRDefault="00943FEB" w:rsidP="00A550FE">
            <w:pPr>
              <w:widowControl w:val="0"/>
              <w:autoSpaceDE w:val="0"/>
              <w:autoSpaceDN w:val="0"/>
              <w:spacing w:before="1" w:line="240" w:lineRule="auto"/>
              <w:ind w:left="460" w:right="0"/>
              <w:rPr>
                <w:rFonts w:eastAsia="Calibri" w:cstheme="minorHAnsi"/>
              </w:rPr>
            </w:pPr>
            <w:r w:rsidRPr="00A550FE">
              <w:rPr>
                <w:rFonts w:eastAsia="Calibri" w:cstheme="minorHAnsi"/>
              </w:rPr>
              <w:t>&lt; 50 ppm</w:t>
            </w:r>
          </w:p>
          <w:p w:rsidR="00943FEB" w:rsidRPr="00A550FE" w:rsidRDefault="00943FEB" w:rsidP="00A550FE">
            <w:pPr>
              <w:widowControl w:val="0"/>
              <w:numPr>
                <w:ilvl w:val="0"/>
                <w:numId w:val="42"/>
              </w:numPr>
              <w:tabs>
                <w:tab w:val="left" w:pos="460"/>
                <w:tab w:val="left" w:pos="461"/>
              </w:tabs>
              <w:autoSpaceDE w:val="0"/>
              <w:autoSpaceDN w:val="0"/>
              <w:spacing w:before="1" w:line="240" w:lineRule="auto"/>
              <w:ind w:right="195"/>
              <w:rPr>
                <w:rFonts w:eastAsia="Calibri" w:cstheme="minorHAnsi"/>
              </w:rPr>
            </w:pPr>
            <w:r w:rsidRPr="00A550FE">
              <w:rPr>
                <w:rFonts w:eastAsia="Calibri" w:cstheme="minorHAnsi"/>
              </w:rPr>
              <w:t>Proper disposal of products containing</w:t>
            </w:r>
            <w:r w:rsidRPr="00A550FE">
              <w:rPr>
                <w:rFonts w:eastAsia="Calibri" w:cstheme="minorHAnsi"/>
                <w:spacing w:val="-10"/>
              </w:rPr>
              <w:t xml:space="preserve"> </w:t>
            </w:r>
            <w:r w:rsidRPr="00A550FE">
              <w:rPr>
                <w:rFonts w:eastAsia="Calibri" w:cstheme="minorHAnsi"/>
              </w:rPr>
              <w:t>PCBs</w:t>
            </w:r>
          </w:p>
          <w:p w:rsidR="00943FEB" w:rsidRPr="00A550FE" w:rsidRDefault="00943FEB" w:rsidP="00A550FE">
            <w:pPr>
              <w:widowControl w:val="0"/>
              <w:numPr>
                <w:ilvl w:val="0"/>
                <w:numId w:val="42"/>
              </w:numPr>
              <w:tabs>
                <w:tab w:val="left" w:pos="460"/>
                <w:tab w:val="left" w:pos="461"/>
              </w:tabs>
              <w:autoSpaceDE w:val="0"/>
              <w:autoSpaceDN w:val="0"/>
              <w:spacing w:before="1" w:line="240" w:lineRule="auto"/>
              <w:ind w:right="724"/>
              <w:rPr>
                <w:rFonts w:eastAsia="Calibri" w:cstheme="minorHAnsi"/>
              </w:rPr>
            </w:pPr>
            <w:r w:rsidRPr="00A550FE">
              <w:rPr>
                <w:rFonts w:eastAsia="Calibri" w:cstheme="minorHAnsi"/>
              </w:rPr>
              <w:t>Hazards</w:t>
            </w:r>
            <w:r w:rsidRPr="00A550FE">
              <w:rPr>
                <w:rFonts w:eastAsia="Calibri" w:cstheme="minorHAnsi"/>
                <w:spacing w:val="-6"/>
              </w:rPr>
              <w:t xml:space="preserve"> </w:t>
            </w:r>
            <w:r w:rsidRPr="00A550FE">
              <w:rPr>
                <w:rFonts w:eastAsia="Calibri" w:cstheme="minorHAnsi"/>
              </w:rPr>
              <w:t>regarding improper</w:t>
            </w:r>
            <w:r w:rsidRPr="00A550FE">
              <w:rPr>
                <w:rFonts w:eastAsia="Calibri" w:cstheme="minorHAnsi"/>
                <w:spacing w:val="-7"/>
              </w:rPr>
              <w:t xml:space="preserve"> </w:t>
            </w:r>
            <w:r w:rsidRPr="00A550FE">
              <w:rPr>
                <w:rFonts w:eastAsia="Calibri" w:cstheme="minorHAnsi"/>
              </w:rPr>
              <w:t>disposal</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110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line="240" w:lineRule="auto"/>
              <w:ind w:left="103" w:right="284"/>
              <w:rPr>
                <w:rFonts w:eastAsia="Calibri" w:cstheme="minorHAnsi"/>
              </w:rPr>
            </w:pPr>
            <w:r w:rsidRPr="00A550FE">
              <w:rPr>
                <w:rFonts w:eastAsia="Calibri" w:cstheme="minorHAnsi"/>
              </w:rPr>
              <w:t>Toxics Management Plan: Prepare and distribute information relevant to the TMP</w:t>
            </w:r>
          </w:p>
        </w:tc>
        <w:tc>
          <w:tcPr>
            <w:tcW w:w="1360" w:type="dxa"/>
            <w:vMerge/>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070" w:type="dxa"/>
          </w:tcPr>
          <w:p w:rsidR="00943FEB" w:rsidRPr="00A550FE" w:rsidRDefault="00943FEB" w:rsidP="00A550FE">
            <w:pPr>
              <w:widowControl w:val="0"/>
              <w:numPr>
                <w:ilvl w:val="0"/>
                <w:numId w:val="41"/>
              </w:numPr>
              <w:tabs>
                <w:tab w:val="left" w:pos="460"/>
                <w:tab w:val="left" w:pos="461"/>
              </w:tabs>
              <w:autoSpaceDE w:val="0"/>
              <w:autoSpaceDN w:val="0"/>
              <w:spacing w:line="240" w:lineRule="auto"/>
              <w:ind w:right="728"/>
              <w:rPr>
                <w:rFonts w:eastAsia="Calibri" w:cstheme="minorHAnsi"/>
              </w:rPr>
            </w:pPr>
            <w:r w:rsidRPr="00A550FE">
              <w:rPr>
                <w:rFonts w:eastAsia="Calibri" w:cstheme="minorHAnsi"/>
              </w:rPr>
              <w:t>Distribute to a newspaper</w:t>
            </w:r>
          </w:p>
          <w:p w:rsidR="00943FEB" w:rsidRPr="00A550FE" w:rsidRDefault="00943FEB" w:rsidP="00A550FE">
            <w:pPr>
              <w:widowControl w:val="0"/>
              <w:numPr>
                <w:ilvl w:val="0"/>
                <w:numId w:val="41"/>
              </w:numPr>
              <w:tabs>
                <w:tab w:val="left" w:pos="460"/>
                <w:tab w:val="left" w:pos="461"/>
              </w:tabs>
              <w:autoSpaceDE w:val="0"/>
              <w:autoSpaceDN w:val="0"/>
              <w:spacing w:before="2" w:line="240" w:lineRule="auto"/>
              <w:ind w:right="135"/>
              <w:rPr>
                <w:rFonts w:eastAsia="Calibri" w:cstheme="minorHAnsi"/>
              </w:rPr>
            </w:pPr>
            <w:r w:rsidRPr="00A550FE">
              <w:rPr>
                <w:rFonts w:eastAsia="Calibri" w:cstheme="minorHAnsi"/>
              </w:rPr>
              <w:t>Make all relevant</w:t>
            </w:r>
            <w:r w:rsidRPr="00A550FE">
              <w:rPr>
                <w:rFonts w:eastAsia="Calibri" w:cstheme="minorHAnsi"/>
                <w:spacing w:val="-5"/>
              </w:rPr>
              <w:t xml:space="preserve"> </w:t>
            </w:r>
            <w:r w:rsidRPr="00A550FE">
              <w:rPr>
                <w:rFonts w:eastAsia="Calibri" w:cstheme="minorHAnsi"/>
              </w:rPr>
              <w:t>TMP documents</w:t>
            </w:r>
            <w:r w:rsidRPr="00A550FE">
              <w:rPr>
                <w:rFonts w:eastAsia="Calibri" w:cstheme="minorHAnsi"/>
                <w:spacing w:val="-8"/>
              </w:rPr>
              <w:t xml:space="preserve"> </w:t>
            </w:r>
            <w:r w:rsidRPr="00A550FE">
              <w:rPr>
                <w:rFonts w:eastAsia="Calibri" w:cstheme="minorHAnsi"/>
              </w:rPr>
              <w:t>available</w:t>
            </w:r>
          </w:p>
          <w:p w:rsidR="00943FEB" w:rsidRPr="00A550FE" w:rsidRDefault="00943FEB" w:rsidP="00A550FE">
            <w:pPr>
              <w:widowControl w:val="0"/>
              <w:autoSpaceDE w:val="0"/>
              <w:autoSpaceDN w:val="0"/>
              <w:spacing w:before="1" w:line="240" w:lineRule="auto"/>
              <w:ind w:left="460" w:right="0"/>
              <w:rPr>
                <w:rFonts w:eastAsia="Calibri" w:cstheme="minorHAnsi"/>
              </w:rPr>
            </w:pPr>
            <w:r w:rsidRPr="00A550FE">
              <w:rPr>
                <w:rFonts w:eastAsia="Calibri" w:cstheme="minorHAnsi"/>
              </w:rPr>
              <w:t>to public</w:t>
            </w:r>
          </w:p>
        </w:tc>
      </w:tr>
      <w:tr w:rsidR="00943FEB" w:rsidRPr="00A550FE" w:rsidTr="00006475">
        <w:trPr>
          <w:trHeight w:val="3720"/>
        </w:trPr>
        <w:tc>
          <w:tcPr>
            <w:tcW w:w="1440" w:type="dxa"/>
          </w:tcPr>
          <w:p w:rsidR="00943FEB" w:rsidRPr="00A550FE" w:rsidRDefault="00943FEB" w:rsidP="00A550FE">
            <w:pPr>
              <w:widowControl w:val="0"/>
              <w:autoSpaceDE w:val="0"/>
              <w:autoSpaceDN w:val="0"/>
              <w:spacing w:before="1" w:line="240" w:lineRule="auto"/>
              <w:ind w:left="102" w:right="100"/>
              <w:rPr>
                <w:rFonts w:eastAsia="Calibri" w:cstheme="minorHAnsi"/>
              </w:rPr>
            </w:pPr>
            <w:r w:rsidRPr="00A550FE">
              <w:rPr>
                <w:rFonts w:eastAsia="Calibri" w:cstheme="minorHAnsi"/>
              </w:rPr>
              <w:t>5.1.2 Washington Municipal Permits</w:t>
            </w:r>
          </w:p>
        </w:tc>
        <w:tc>
          <w:tcPr>
            <w:tcW w:w="1790" w:type="dxa"/>
          </w:tcPr>
          <w:p w:rsidR="00943FEB" w:rsidRPr="00A550FE" w:rsidRDefault="00943FEB" w:rsidP="00A550FE">
            <w:pPr>
              <w:widowControl w:val="0"/>
              <w:autoSpaceDE w:val="0"/>
              <w:autoSpaceDN w:val="0"/>
              <w:spacing w:before="1" w:line="240" w:lineRule="auto"/>
              <w:ind w:left="103" w:right="0"/>
              <w:rPr>
                <w:rFonts w:eastAsia="Calibri" w:cstheme="minorHAnsi"/>
              </w:rPr>
            </w:pPr>
            <w:r w:rsidRPr="00A550FE">
              <w:rPr>
                <w:rFonts w:eastAsia="Calibri" w:cstheme="minorHAnsi"/>
              </w:rPr>
              <w:t>Prepare public media</w:t>
            </w:r>
          </w:p>
        </w:tc>
        <w:tc>
          <w:tcPr>
            <w:tcW w:w="1360" w:type="dxa"/>
          </w:tcPr>
          <w:p w:rsidR="00943FEB" w:rsidRPr="00A550FE" w:rsidRDefault="00943FEB" w:rsidP="00A550FE">
            <w:pPr>
              <w:widowControl w:val="0"/>
              <w:autoSpaceDE w:val="0"/>
              <w:autoSpaceDN w:val="0"/>
              <w:spacing w:before="1" w:line="240" w:lineRule="auto"/>
              <w:ind w:left="102" w:right="0"/>
              <w:rPr>
                <w:rFonts w:eastAsia="Calibri" w:cstheme="minorHAnsi"/>
              </w:rPr>
            </w:pPr>
            <w:r w:rsidRPr="00A550FE">
              <w:rPr>
                <w:rFonts w:eastAsia="Calibri" w:cstheme="minorHAnsi"/>
              </w:rPr>
              <w:t>LLSWD</w:t>
            </w:r>
          </w:p>
          <w:p w:rsidR="00943FEB" w:rsidRPr="00A550FE" w:rsidRDefault="00943FEB" w:rsidP="00A550FE">
            <w:pPr>
              <w:widowControl w:val="0"/>
              <w:autoSpaceDE w:val="0"/>
              <w:autoSpaceDN w:val="0"/>
              <w:spacing w:line="240" w:lineRule="auto"/>
              <w:ind w:left="102" w:right="301"/>
              <w:rPr>
                <w:rFonts w:eastAsia="Calibri" w:cstheme="minorHAnsi"/>
              </w:rPr>
            </w:pPr>
            <w:r w:rsidRPr="00A550FE">
              <w:rPr>
                <w:rFonts w:eastAsia="Calibri" w:cstheme="minorHAnsi"/>
              </w:rPr>
              <w:t>Spokane County City of Spokane</w:t>
            </w:r>
          </w:p>
        </w:tc>
        <w:tc>
          <w:tcPr>
            <w:tcW w:w="3150" w:type="dxa"/>
          </w:tcPr>
          <w:p w:rsidR="00943FEB" w:rsidRPr="00A550FE" w:rsidRDefault="00943FEB" w:rsidP="00A550FE">
            <w:pPr>
              <w:widowControl w:val="0"/>
              <w:autoSpaceDE w:val="0"/>
              <w:autoSpaceDN w:val="0"/>
              <w:spacing w:before="1" w:line="240" w:lineRule="auto"/>
              <w:ind w:left="102" w:right="154"/>
              <w:jc w:val="both"/>
              <w:rPr>
                <w:rFonts w:eastAsia="Calibri" w:cstheme="minorHAnsi"/>
              </w:rPr>
            </w:pPr>
            <w:r w:rsidRPr="00A550FE">
              <w:rPr>
                <w:rFonts w:eastAsia="Calibri" w:cstheme="minorHAnsi"/>
              </w:rPr>
              <w:t>-Inventory of existing education and outreach activities on PCBs/toxics in the Spokane River Basin</w:t>
            </w:r>
          </w:p>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can access and utilize as needed. Coordinate with permit holders on public media that is agreed upon by the whole Task Force.</w:t>
            </w:r>
          </w:p>
          <w:p w:rsidR="00943FEB" w:rsidRPr="00A550FE" w:rsidRDefault="00943FEB" w:rsidP="00A550FE">
            <w:pPr>
              <w:widowControl w:val="0"/>
              <w:autoSpaceDE w:val="0"/>
              <w:autoSpaceDN w:val="0"/>
              <w:spacing w:line="240" w:lineRule="auto"/>
              <w:ind w:left="102" w:right="116"/>
              <w:rPr>
                <w:rFonts w:eastAsia="Calibri" w:cstheme="minorHAnsi"/>
              </w:rPr>
            </w:pPr>
            <w:r w:rsidRPr="00A550FE">
              <w:rPr>
                <w:rFonts w:eastAsia="Calibri" w:cstheme="minorHAnsi"/>
              </w:rPr>
              <w:t>Check in with LLSWD, Spokane County, and City of Spokane every 6 months to determine if there are more outreach materials needed and/or media opportunities that the Task Force should take advantage</w:t>
            </w:r>
          </w:p>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of.</w:t>
            </w:r>
          </w:p>
        </w:tc>
        <w:tc>
          <w:tcPr>
            <w:tcW w:w="1080" w:type="dxa"/>
          </w:tcPr>
          <w:p w:rsidR="00943FEB" w:rsidRPr="00A550FE" w:rsidRDefault="00943FEB" w:rsidP="00A550FE">
            <w:pPr>
              <w:widowControl w:val="0"/>
              <w:autoSpaceDE w:val="0"/>
              <w:autoSpaceDN w:val="0"/>
              <w:spacing w:before="1" w:line="240" w:lineRule="auto"/>
              <w:ind w:left="103" w:right="0"/>
              <w:rPr>
                <w:rFonts w:eastAsia="Calibri" w:cstheme="minorHAnsi"/>
              </w:rPr>
            </w:pPr>
            <w:r w:rsidRPr="00A550FE">
              <w:rPr>
                <w:rFonts w:eastAsia="Calibri" w:cstheme="minorHAnsi"/>
              </w:rPr>
              <w:t>1.5  yr</w:t>
            </w:r>
          </w:p>
        </w:tc>
        <w:tc>
          <w:tcPr>
            <w:tcW w:w="2430" w:type="dxa"/>
          </w:tcPr>
          <w:p w:rsidR="00943FEB" w:rsidRPr="00A550FE" w:rsidRDefault="00943FEB" w:rsidP="00A550FE">
            <w:pPr>
              <w:widowControl w:val="0"/>
              <w:numPr>
                <w:ilvl w:val="0"/>
                <w:numId w:val="40"/>
              </w:numPr>
              <w:tabs>
                <w:tab w:val="left" w:pos="460"/>
                <w:tab w:val="left" w:pos="461"/>
              </w:tabs>
              <w:autoSpaceDE w:val="0"/>
              <w:autoSpaceDN w:val="0"/>
              <w:spacing w:before="1" w:line="240" w:lineRule="auto"/>
              <w:ind w:right="195"/>
              <w:rPr>
                <w:rFonts w:eastAsia="Calibri" w:cstheme="minorHAnsi"/>
              </w:rPr>
            </w:pPr>
            <w:r w:rsidRPr="00A550FE">
              <w:rPr>
                <w:rFonts w:eastAsia="Calibri" w:cstheme="minorHAnsi"/>
              </w:rPr>
              <w:t>Difference between PCB free and non-PCB products containing</w:t>
            </w:r>
            <w:r w:rsidRPr="00A550FE">
              <w:rPr>
                <w:rFonts w:eastAsia="Calibri" w:cstheme="minorHAnsi"/>
                <w:spacing w:val="-10"/>
              </w:rPr>
              <w:t xml:space="preserve"> </w:t>
            </w:r>
            <w:r w:rsidRPr="00A550FE">
              <w:rPr>
                <w:rFonts w:eastAsia="Calibri" w:cstheme="minorHAnsi"/>
              </w:rPr>
              <w:t>PCBs</w:t>
            </w:r>
          </w:p>
          <w:p w:rsidR="00943FEB" w:rsidRPr="00A550FE" w:rsidRDefault="00943FEB" w:rsidP="00A550FE">
            <w:pPr>
              <w:widowControl w:val="0"/>
              <w:autoSpaceDE w:val="0"/>
              <w:autoSpaceDN w:val="0"/>
              <w:spacing w:line="240" w:lineRule="auto"/>
              <w:ind w:left="460" w:right="0"/>
              <w:rPr>
                <w:rFonts w:eastAsia="Calibri" w:cstheme="minorHAnsi"/>
              </w:rPr>
            </w:pPr>
            <w:r w:rsidRPr="00A550FE">
              <w:rPr>
                <w:rFonts w:eastAsia="Calibri" w:cstheme="minorHAnsi"/>
              </w:rPr>
              <w:t>&lt; 50 ppm</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1960"/>
        </w:trPr>
        <w:tc>
          <w:tcPr>
            <w:tcW w:w="1440" w:type="dxa"/>
          </w:tcPr>
          <w:p w:rsidR="00943FEB" w:rsidRPr="00A550FE" w:rsidRDefault="00943FEB" w:rsidP="00A550FE">
            <w:pPr>
              <w:widowControl w:val="0"/>
              <w:autoSpaceDE w:val="0"/>
              <w:autoSpaceDN w:val="0"/>
              <w:spacing w:line="240" w:lineRule="auto"/>
              <w:ind w:left="102" w:right="172"/>
              <w:rPr>
                <w:rFonts w:eastAsia="Calibri" w:cstheme="minorHAnsi"/>
              </w:rPr>
            </w:pPr>
            <w:r w:rsidRPr="00A550FE">
              <w:rPr>
                <w:rFonts w:eastAsia="Calibri" w:cstheme="minorHAnsi"/>
              </w:rPr>
              <w:t>5.3.1 NPDES Stormwater Permits for MS4s</w:t>
            </w:r>
          </w:p>
        </w:tc>
        <w:tc>
          <w:tcPr>
            <w:tcW w:w="179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Education and outreach</w:t>
            </w:r>
          </w:p>
        </w:tc>
        <w:tc>
          <w:tcPr>
            <w:tcW w:w="136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Idaho general MS4 permit holders</w:t>
            </w:r>
          </w:p>
        </w:tc>
        <w:tc>
          <w:tcPr>
            <w:tcW w:w="3150" w:type="dxa"/>
          </w:tcPr>
          <w:p w:rsidR="00943FEB" w:rsidRPr="00A550FE" w:rsidRDefault="00943FEB" w:rsidP="00A550FE">
            <w:pPr>
              <w:widowControl w:val="0"/>
              <w:autoSpaceDE w:val="0"/>
              <w:autoSpaceDN w:val="0"/>
              <w:spacing w:line="240" w:lineRule="auto"/>
              <w:ind w:left="102" w:right="134"/>
              <w:rPr>
                <w:rFonts w:eastAsia="Calibri" w:cstheme="minorHAnsi"/>
              </w:rPr>
            </w:pPr>
            <w:r w:rsidRPr="00A550FE">
              <w:rPr>
                <w:rFonts w:eastAsia="Calibri" w:cstheme="minorHAnsi"/>
              </w:rPr>
              <w:t>-Inventory of existing education and outreach activities on PCBs/toxics in the Spokane River Basin specific to stormwater.</w:t>
            </w:r>
          </w:p>
          <w:p w:rsidR="00943FEB" w:rsidRPr="00A550FE" w:rsidRDefault="00943FEB" w:rsidP="00A550FE">
            <w:pPr>
              <w:widowControl w:val="0"/>
              <w:autoSpaceDE w:val="0"/>
              <w:autoSpaceDN w:val="0"/>
              <w:spacing w:before="2" w:line="240" w:lineRule="auto"/>
              <w:ind w:left="0" w:right="0"/>
              <w:rPr>
                <w:rFonts w:eastAsia="Calibri" w:cstheme="minorHAnsi"/>
              </w:rPr>
            </w:pPr>
          </w:p>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can access and utilize as</w:t>
            </w:r>
          </w:p>
          <w:p w:rsidR="00943FEB" w:rsidRPr="00A550FE" w:rsidRDefault="00943FEB" w:rsidP="00A550FE">
            <w:pPr>
              <w:widowControl w:val="0"/>
              <w:autoSpaceDE w:val="0"/>
              <w:autoSpaceDN w:val="0"/>
              <w:spacing w:before="1" w:line="240" w:lineRule="auto"/>
              <w:ind w:left="102" w:right="0"/>
              <w:rPr>
                <w:rFonts w:eastAsia="Calibri" w:cstheme="minorHAnsi"/>
              </w:rPr>
            </w:pPr>
            <w:r w:rsidRPr="00A550FE">
              <w:rPr>
                <w:rFonts w:eastAsia="Calibri" w:cstheme="minorHAnsi"/>
              </w:rPr>
              <w:t>needed.</w:t>
            </w:r>
          </w:p>
        </w:tc>
        <w:tc>
          <w:tcPr>
            <w:tcW w:w="108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1.5 yr</w:t>
            </w:r>
          </w:p>
        </w:tc>
        <w:tc>
          <w:tcPr>
            <w:tcW w:w="2430" w:type="dxa"/>
          </w:tcPr>
          <w:p w:rsidR="00943FEB" w:rsidRPr="00A550FE" w:rsidRDefault="00943FEB" w:rsidP="00A550FE">
            <w:pPr>
              <w:widowControl w:val="0"/>
              <w:numPr>
                <w:ilvl w:val="0"/>
                <w:numId w:val="39"/>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Low Impact</w:t>
            </w:r>
            <w:r w:rsidRPr="00A550FE">
              <w:rPr>
                <w:rFonts w:eastAsia="Calibri" w:cstheme="minorHAnsi"/>
                <w:spacing w:val="-10"/>
              </w:rPr>
              <w:t xml:space="preserve"> </w:t>
            </w:r>
            <w:r w:rsidRPr="00A550FE">
              <w:rPr>
                <w:rFonts w:eastAsia="Calibri" w:cstheme="minorHAnsi"/>
              </w:rPr>
              <w:t>Development</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2620"/>
        </w:trPr>
        <w:tc>
          <w:tcPr>
            <w:tcW w:w="1440" w:type="dxa"/>
          </w:tcPr>
          <w:p w:rsidR="00943FEB" w:rsidRPr="00A550FE" w:rsidRDefault="00943FEB" w:rsidP="00A550FE">
            <w:pPr>
              <w:widowControl w:val="0"/>
              <w:autoSpaceDE w:val="0"/>
              <w:autoSpaceDN w:val="0"/>
              <w:spacing w:line="240" w:lineRule="auto"/>
              <w:ind w:left="102" w:right="311"/>
              <w:rPr>
                <w:rFonts w:eastAsia="Calibri" w:cstheme="minorHAnsi"/>
              </w:rPr>
            </w:pPr>
            <w:r w:rsidRPr="00A550FE">
              <w:rPr>
                <w:rFonts w:eastAsia="Calibri" w:cstheme="minorHAnsi"/>
              </w:rPr>
              <w:t>5.4 Low Impact Development Ordinance</w:t>
            </w:r>
          </w:p>
        </w:tc>
        <w:tc>
          <w:tcPr>
            <w:tcW w:w="1790" w:type="dxa"/>
          </w:tcPr>
          <w:p w:rsidR="00943FEB" w:rsidRPr="00A550FE" w:rsidRDefault="00943FEB" w:rsidP="00A550FE">
            <w:pPr>
              <w:widowControl w:val="0"/>
              <w:autoSpaceDE w:val="0"/>
              <w:autoSpaceDN w:val="0"/>
              <w:spacing w:line="240" w:lineRule="auto"/>
              <w:ind w:left="103" w:right="305"/>
              <w:rPr>
                <w:rFonts w:eastAsia="Calibri" w:cstheme="minorHAnsi"/>
              </w:rPr>
            </w:pPr>
            <w:r w:rsidRPr="00A550FE">
              <w:rPr>
                <w:rFonts w:eastAsia="Calibri" w:cstheme="minorHAnsi"/>
              </w:rPr>
              <w:t>Encourage LID for site development and redevelopment</w:t>
            </w:r>
          </w:p>
        </w:tc>
        <w:tc>
          <w:tcPr>
            <w:tcW w:w="136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City of Spokane</w:t>
            </w:r>
          </w:p>
        </w:tc>
        <w:tc>
          <w:tcPr>
            <w:tcW w:w="3150" w:type="dxa"/>
          </w:tcPr>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environmental groups, and the public can access and utilize as needed - this will link to all relevant information on LID and programs available to assist with LID implementation</w:t>
            </w:r>
          </w:p>
          <w:p w:rsidR="00943FEB" w:rsidRPr="00A550FE" w:rsidRDefault="00943FEB" w:rsidP="00A550FE">
            <w:pPr>
              <w:widowControl w:val="0"/>
              <w:autoSpaceDE w:val="0"/>
              <w:autoSpaceDN w:val="0"/>
              <w:spacing w:before="2" w:line="240" w:lineRule="auto"/>
              <w:ind w:left="102" w:right="334"/>
              <w:rPr>
                <w:rFonts w:eastAsia="Calibri" w:cstheme="minorHAnsi"/>
              </w:rPr>
            </w:pPr>
            <w:r w:rsidRPr="00A550FE">
              <w:rPr>
                <w:rFonts w:eastAsia="Calibri" w:cstheme="minorHAnsi"/>
              </w:rPr>
              <w:t>-Compile relevant information on LID and LID implementation for inclusion in the website.</w:t>
            </w: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430" w:type="dxa"/>
          </w:tcPr>
          <w:p w:rsidR="00943FEB" w:rsidRPr="00A550FE" w:rsidRDefault="00943FEB" w:rsidP="00A550FE">
            <w:pPr>
              <w:widowControl w:val="0"/>
              <w:numPr>
                <w:ilvl w:val="0"/>
                <w:numId w:val="38"/>
              </w:numPr>
              <w:tabs>
                <w:tab w:val="left" w:pos="461"/>
              </w:tabs>
              <w:autoSpaceDE w:val="0"/>
              <w:autoSpaceDN w:val="0"/>
              <w:spacing w:line="240" w:lineRule="auto"/>
              <w:ind w:right="188"/>
              <w:jc w:val="both"/>
              <w:rPr>
                <w:rFonts w:eastAsia="Calibri" w:cstheme="minorHAnsi"/>
              </w:rPr>
            </w:pPr>
            <w:r w:rsidRPr="00A550FE">
              <w:rPr>
                <w:rFonts w:eastAsia="Calibri" w:cstheme="minorHAnsi"/>
              </w:rPr>
              <w:t>EW LID Guidance manual as technical reference</w:t>
            </w:r>
            <w:r w:rsidRPr="00A550FE">
              <w:rPr>
                <w:rFonts w:eastAsia="Calibri" w:cstheme="minorHAnsi"/>
                <w:spacing w:val="-11"/>
              </w:rPr>
              <w:t xml:space="preserve"> </w:t>
            </w:r>
            <w:r w:rsidRPr="00A550FE">
              <w:rPr>
                <w:rFonts w:eastAsia="Calibri" w:cstheme="minorHAnsi"/>
              </w:rPr>
              <w:t>for developers</w:t>
            </w:r>
          </w:p>
          <w:p w:rsidR="00943FEB" w:rsidRPr="00A550FE" w:rsidRDefault="00943FEB" w:rsidP="00A550FE">
            <w:pPr>
              <w:widowControl w:val="0"/>
              <w:numPr>
                <w:ilvl w:val="0"/>
                <w:numId w:val="38"/>
              </w:numPr>
              <w:tabs>
                <w:tab w:val="left" w:pos="460"/>
                <w:tab w:val="left" w:pos="461"/>
              </w:tabs>
              <w:autoSpaceDE w:val="0"/>
              <w:autoSpaceDN w:val="0"/>
              <w:spacing w:before="2" w:line="240" w:lineRule="auto"/>
              <w:ind w:right="660"/>
              <w:rPr>
                <w:rFonts w:eastAsia="Calibri" w:cstheme="minorHAnsi"/>
              </w:rPr>
            </w:pPr>
            <w:r w:rsidRPr="00A550FE">
              <w:rPr>
                <w:rFonts w:eastAsia="Calibri" w:cstheme="minorHAnsi"/>
              </w:rPr>
              <w:t>10% discount on stormwater fee for implementing</w:t>
            </w:r>
          </w:p>
        </w:tc>
        <w:tc>
          <w:tcPr>
            <w:tcW w:w="2070" w:type="dxa"/>
          </w:tcPr>
          <w:p w:rsidR="00943FEB" w:rsidRPr="00A550FE" w:rsidRDefault="00943FEB" w:rsidP="00A550FE">
            <w:pPr>
              <w:widowControl w:val="0"/>
              <w:numPr>
                <w:ilvl w:val="0"/>
                <w:numId w:val="37"/>
              </w:numPr>
              <w:tabs>
                <w:tab w:val="left" w:pos="460"/>
                <w:tab w:val="left" w:pos="461"/>
              </w:tabs>
              <w:autoSpaceDE w:val="0"/>
              <w:autoSpaceDN w:val="0"/>
              <w:spacing w:line="240" w:lineRule="auto"/>
              <w:ind w:right="482"/>
              <w:rPr>
                <w:rFonts w:eastAsia="Calibri" w:cstheme="minorHAnsi"/>
              </w:rPr>
            </w:pPr>
            <w:r w:rsidRPr="00A550FE">
              <w:rPr>
                <w:rFonts w:eastAsia="Calibri" w:cstheme="minorHAnsi"/>
              </w:rPr>
              <w:t>Possible</w:t>
            </w:r>
            <w:r w:rsidRPr="00A550FE">
              <w:rPr>
                <w:rFonts w:eastAsia="Calibri" w:cstheme="minorHAnsi"/>
                <w:spacing w:val="-5"/>
              </w:rPr>
              <w:t xml:space="preserve"> </w:t>
            </w:r>
            <w:r w:rsidRPr="00A550FE">
              <w:rPr>
                <w:rFonts w:eastAsia="Calibri" w:cstheme="minorHAnsi"/>
              </w:rPr>
              <w:t>outreach activity</w:t>
            </w:r>
          </w:p>
        </w:tc>
      </w:tr>
      <w:tr w:rsidR="00943FEB" w:rsidRPr="00A550FE" w:rsidTr="00006475">
        <w:trPr>
          <w:trHeight w:val="1692"/>
        </w:trPr>
        <w:tc>
          <w:tcPr>
            <w:tcW w:w="1440" w:type="dxa"/>
          </w:tcPr>
          <w:p w:rsidR="00943FEB" w:rsidRPr="00A550FE" w:rsidRDefault="00943FEB" w:rsidP="00A550FE">
            <w:pPr>
              <w:widowControl w:val="0"/>
              <w:autoSpaceDE w:val="0"/>
              <w:autoSpaceDN w:val="0"/>
              <w:spacing w:line="240" w:lineRule="auto"/>
              <w:ind w:left="102" w:right="195"/>
              <w:rPr>
                <w:rFonts w:eastAsia="Calibri" w:cstheme="minorHAnsi"/>
              </w:rPr>
            </w:pPr>
            <w:r w:rsidRPr="00A550FE">
              <w:rPr>
                <w:rFonts w:eastAsia="Calibri" w:cstheme="minorHAnsi"/>
              </w:rPr>
              <w:t>5.7.1 Support Green Chemistry Alternatives</w:t>
            </w:r>
          </w:p>
        </w:tc>
        <w:tc>
          <w:tcPr>
            <w:tcW w:w="1790" w:type="dxa"/>
          </w:tcPr>
          <w:p w:rsidR="00943FEB" w:rsidRPr="00A550FE" w:rsidRDefault="00943FEB" w:rsidP="00A550FE">
            <w:pPr>
              <w:widowControl w:val="0"/>
              <w:autoSpaceDE w:val="0"/>
              <w:autoSpaceDN w:val="0"/>
              <w:spacing w:line="240" w:lineRule="auto"/>
              <w:ind w:left="103" w:right="265"/>
              <w:rPr>
                <w:rFonts w:eastAsia="Calibri" w:cstheme="minorHAnsi"/>
              </w:rPr>
            </w:pPr>
            <w:r w:rsidRPr="00A550FE">
              <w:rPr>
                <w:rFonts w:eastAsia="Calibri" w:cstheme="minorHAnsi"/>
              </w:rPr>
              <w:t>Technical Support and Expertise to Educators</w:t>
            </w:r>
          </w:p>
        </w:tc>
        <w:tc>
          <w:tcPr>
            <w:tcW w:w="1360" w:type="dxa"/>
          </w:tcPr>
          <w:p w:rsidR="00943FEB" w:rsidRPr="00A550FE" w:rsidRDefault="00943FEB" w:rsidP="00A550FE">
            <w:pPr>
              <w:widowControl w:val="0"/>
              <w:autoSpaceDE w:val="0"/>
              <w:autoSpaceDN w:val="0"/>
              <w:spacing w:line="240" w:lineRule="auto"/>
              <w:ind w:left="102" w:right="405"/>
              <w:rPr>
                <w:rFonts w:eastAsia="Calibri" w:cstheme="minorHAnsi"/>
              </w:rPr>
            </w:pPr>
            <w:r w:rsidRPr="00A550FE">
              <w:rPr>
                <w:rFonts w:eastAsia="Calibri" w:cstheme="minorHAnsi"/>
              </w:rPr>
              <w:t>Department of Ecology</w:t>
            </w:r>
          </w:p>
        </w:tc>
        <w:tc>
          <w:tcPr>
            <w:tcW w:w="3150" w:type="dxa"/>
          </w:tcPr>
          <w:p w:rsidR="00943FEB" w:rsidRPr="00A550FE" w:rsidRDefault="00943FEB" w:rsidP="00A550FE">
            <w:pPr>
              <w:widowControl w:val="0"/>
              <w:autoSpaceDE w:val="0"/>
              <w:autoSpaceDN w:val="0"/>
              <w:spacing w:line="240" w:lineRule="auto"/>
              <w:ind w:left="102" w:right="196"/>
              <w:rPr>
                <w:rFonts w:eastAsia="Calibri" w:cstheme="minorHAnsi"/>
              </w:rPr>
            </w:pPr>
            <w:r w:rsidRPr="00A550FE">
              <w:rPr>
                <w:rFonts w:eastAsia="Calibri" w:cstheme="minorHAnsi"/>
              </w:rPr>
              <w:t>Inventory of existing education and outreach activities on PCBs/toxics in the Spokane River Basin</w:t>
            </w: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430" w:type="dxa"/>
          </w:tcPr>
          <w:p w:rsidR="00943FEB" w:rsidRPr="00A550FE" w:rsidRDefault="00943FEB" w:rsidP="00A550FE">
            <w:pPr>
              <w:widowControl w:val="0"/>
              <w:numPr>
                <w:ilvl w:val="0"/>
                <w:numId w:val="36"/>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Teaching</w:t>
            </w:r>
            <w:r w:rsidRPr="00A550FE">
              <w:rPr>
                <w:rFonts w:eastAsia="Calibri" w:cstheme="minorHAnsi"/>
                <w:spacing w:val="-7"/>
              </w:rPr>
              <w:t xml:space="preserve"> </w:t>
            </w:r>
            <w:r w:rsidRPr="00A550FE">
              <w:rPr>
                <w:rFonts w:eastAsia="Calibri" w:cstheme="minorHAnsi"/>
              </w:rPr>
              <w:t>materials</w:t>
            </w:r>
          </w:p>
          <w:p w:rsidR="00943FEB" w:rsidRPr="00A550FE" w:rsidRDefault="00943FEB" w:rsidP="00A550FE">
            <w:pPr>
              <w:widowControl w:val="0"/>
              <w:numPr>
                <w:ilvl w:val="0"/>
                <w:numId w:val="36"/>
              </w:numPr>
              <w:tabs>
                <w:tab w:val="left" w:pos="460"/>
                <w:tab w:val="left" w:pos="461"/>
              </w:tabs>
              <w:autoSpaceDE w:val="0"/>
              <w:autoSpaceDN w:val="0"/>
              <w:spacing w:before="1" w:line="240" w:lineRule="auto"/>
              <w:ind w:right="0"/>
              <w:rPr>
                <w:rFonts w:eastAsia="Calibri" w:cstheme="minorHAnsi"/>
              </w:rPr>
            </w:pPr>
            <w:r w:rsidRPr="00A550FE">
              <w:rPr>
                <w:rFonts w:eastAsia="Calibri" w:cstheme="minorHAnsi"/>
              </w:rPr>
              <w:t>Impacts of</w:t>
            </w:r>
            <w:r w:rsidRPr="00A550FE">
              <w:rPr>
                <w:rFonts w:eastAsia="Calibri" w:cstheme="minorHAnsi"/>
                <w:spacing w:val="-5"/>
              </w:rPr>
              <w:t xml:space="preserve"> </w:t>
            </w:r>
            <w:r w:rsidRPr="00A550FE">
              <w:rPr>
                <w:rFonts w:eastAsia="Calibri" w:cstheme="minorHAnsi"/>
              </w:rPr>
              <w:t>ingredients</w:t>
            </w:r>
          </w:p>
          <w:p w:rsidR="00943FEB" w:rsidRPr="00A550FE" w:rsidRDefault="00943FEB" w:rsidP="00A550FE">
            <w:pPr>
              <w:widowControl w:val="0"/>
              <w:numPr>
                <w:ilvl w:val="0"/>
                <w:numId w:val="36"/>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Safer chemical</w:t>
            </w:r>
            <w:r w:rsidRPr="00A550FE">
              <w:rPr>
                <w:rFonts w:eastAsia="Calibri" w:cstheme="minorHAnsi"/>
                <w:spacing w:val="-8"/>
              </w:rPr>
              <w:t xml:space="preserve"> </w:t>
            </w:r>
            <w:r w:rsidRPr="00A550FE">
              <w:rPr>
                <w:rFonts w:eastAsia="Calibri" w:cstheme="minorHAnsi"/>
              </w:rPr>
              <w:t>ingredients</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860"/>
        </w:trPr>
        <w:tc>
          <w:tcPr>
            <w:tcW w:w="144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5.8.2 PCB Product Testing: New Actions</w:t>
            </w:r>
          </w:p>
        </w:tc>
        <w:tc>
          <w:tcPr>
            <w:tcW w:w="1790" w:type="dxa"/>
          </w:tcPr>
          <w:p w:rsidR="00943FEB" w:rsidRPr="00A550FE" w:rsidRDefault="00943FEB" w:rsidP="00A550FE">
            <w:pPr>
              <w:widowControl w:val="0"/>
              <w:autoSpaceDE w:val="0"/>
              <w:autoSpaceDN w:val="0"/>
              <w:spacing w:line="240" w:lineRule="auto"/>
              <w:ind w:left="103" w:right="436"/>
              <w:rPr>
                <w:rFonts w:eastAsia="Calibri" w:cstheme="minorHAnsi"/>
              </w:rPr>
            </w:pPr>
            <w:r w:rsidRPr="00A550FE">
              <w:rPr>
                <w:rFonts w:eastAsia="Calibri" w:cstheme="minorHAnsi"/>
              </w:rPr>
              <w:t>Outreach to general public</w:t>
            </w:r>
          </w:p>
        </w:tc>
        <w:tc>
          <w:tcPr>
            <w:tcW w:w="136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EPA</w:t>
            </w:r>
          </w:p>
        </w:tc>
        <w:tc>
          <w:tcPr>
            <w:tcW w:w="3150" w:type="dxa"/>
          </w:tcPr>
          <w:p w:rsidR="00943FEB" w:rsidRPr="00A550FE" w:rsidRDefault="00943FEB" w:rsidP="00A550FE">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w:t>
            </w:r>
          </w:p>
          <w:p w:rsidR="00943FEB" w:rsidRPr="00A550FE" w:rsidRDefault="00943FEB" w:rsidP="00A550FE">
            <w:pPr>
              <w:widowControl w:val="0"/>
              <w:autoSpaceDE w:val="0"/>
              <w:autoSpaceDN w:val="0"/>
              <w:spacing w:before="1" w:line="240" w:lineRule="auto"/>
              <w:ind w:left="102" w:right="0"/>
              <w:rPr>
                <w:rFonts w:eastAsia="Calibri" w:cstheme="minorHAnsi"/>
              </w:rPr>
            </w:pPr>
            <w:r w:rsidRPr="00A550FE">
              <w:rPr>
                <w:rFonts w:eastAsia="Calibri" w:cstheme="minorHAnsi"/>
              </w:rPr>
              <w:t>needed.</w:t>
            </w:r>
          </w:p>
        </w:tc>
        <w:tc>
          <w:tcPr>
            <w:tcW w:w="108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5"/>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Safer</w:t>
            </w:r>
            <w:r w:rsidRPr="00A550FE">
              <w:rPr>
                <w:rFonts w:eastAsia="Calibri" w:cstheme="minorHAnsi"/>
                <w:spacing w:val="-6"/>
              </w:rPr>
              <w:t xml:space="preserve"> </w:t>
            </w:r>
            <w:r w:rsidRPr="00A550FE">
              <w:rPr>
                <w:rFonts w:eastAsia="Calibri" w:cstheme="minorHAnsi"/>
              </w:rPr>
              <w:t>choices</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88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Partner with NW Green</w:t>
            </w:r>
          </w:p>
          <w:p w:rsidR="00943FEB" w:rsidRPr="00A550FE" w:rsidRDefault="00943FEB" w:rsidP="00A550FE">
            <w:pPr>
              <w:widowControl w:val="0"/>
              <w:autoSpaceDE w:val="0"/>
              <w:autoSpaceDN w:val="0"/>
              <w:spacing w:line="240" w:lineRule="auto"/>
              <w:ind w:left="103" w:right="436"/>
              <w:rPr>
                <w:rFonts w:eastAsia="Calibri" w:cstheme="minorHAnsi"/>
              </w:rPr>
            </w:pPr>
            <w:r w:rsidRPr="00A550FE">
              <w:rPr>
                <w:rFonts w:eastAsia="Calibri" w:cstheme="minorHAnsi"/>
              </w:rPr>
              <w:t>Chemistry</w:t>
            </w:r>
          </w:p>
        </w:tc>
        <w:tc>
          <w:tcPr>
            <w:tcW w:w="1360" w:type="dxa"/>
            <w:vMerge/>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Coordinate with the Green Chemistry</w:t>
            </w:r>
          </w:p>
          <w:p w:rsidR="00943FEB" w:rsidRPr="00A550FE" w:rsidRDefault="00943FEB" w:rsidP="00A550FE">
            <w:pPr>
              <w:widowControl w:val="0"/>
              <w:autoSpaceDE w:val="0"/>
              <w:autoSpaceDN w:val="0"/>
              <w:spacing w:before="1" w:line="240" w:lineRule="auto"/>
              <w:ind w:left="102" w:right="0"/>
              <w:rPr>
                <w:rFonts w:eastAsia="Calibri" w:cstheme="minorHAnsi"/>
              </w:rPr>
            </w:pPr>
            <w:r w:rsidRPr="00A550FE">
              <w:rPr>
                <w:rFonts w:eastAsia="Calibri" w:cstheme="minorHAnsi"/>
              </w:rPr>
              <w:t>Work Group, check in Quarterly.</w:t>
            </w: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5"/>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PCB-Pigment</w:t>
            </w:r>
            <w:r w:rsidRPr="00A550FE">
              <w:rPr>
                <w:rFonts w:eastAsia="Calibri" w:cstheme="minorHAnsi"/>
                <w:spacing w:val="-8"/>
              </w:rPr>
              <w:t xml:space="preserve"> </w:t>
            </w:r>
            <w:r w:rsidRPr="00A550FE">
              <w:rPr>
                <w:rFonts w:eastAsia="Calibri" w:cstheme="minorHAnsi"/>
              </w:rPr>
              <w:t>alternatives</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42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Support Presidential Green Chemistry</w:t>
            </w:r>
          </w:p>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Challenge Research</w:t>
            </w:r>
          </w:p>
        </w:tc>
        <w:tc>
          <w:tcPr>
            <w:tcW w:w="1360" w:type="dxa"/>
            <w:vMerge/>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102" w:right="0"/>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4"/>
              </w:numPr>
              <w:tabs>
                <w:tab w:val="left" w:pos="460"/>
                <w:tab w:val="left" w:pos="461"/>
              </w:tabs>
              <w:autoSpaceDE w:val="0"/>
              <w:autoSpaceDN w:val="0"/>
              <w:spacing w:line="240" w:lineRule="auto"/>
              <w:ind w:right="0"/>
              <w:rPr>
                <w:rFonts w:eastAsia="Calibri" w:cstheme="minorHAnsi"/>
              </w:rPr>
            </w:pP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660"/>
        </w:trPr>
        <w:tc>
          <w:tcPr>
            <w:tcW w:w="1440" w:type="dxa"/>
            <w:vMerge/>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before="1" w:line="240" w:lineRule="auto"/>
              <w:ind w:left="103" w:right="0"/>
              <w:rPr>
                <w:rFonts w:eastAsia="Calibri" w:cstheme="minorHAnsi"/>
              </w:rPr>
            </w:pPr>
            <w:r w:rsidRPr="00A550FE">
              <w:rPr>
                <w:rFonts w:eastAsia="Calibri" w:cstheme="minorHAnsi"/>
              </w:rPr>
              <w:t>Support centralized clearing house for PCB information</w:t>
            </w:r>
          </w:p>
        </w:tc>
        <w:tc>
          <w:tcPr>
            <w:tcW w:w="136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Department of Ecology</w:t>
            </w:r>
          </w:p>
        </w:tc>
        <w:tc>
          <w:tcPr>
            <w:tcW w:w="3150" w:type="dxa"/>
          </w:tcPr>
          <w:p w:rsidR="00943FEB" w:rsidRPr="00A550FE" w:rsidRDefault="00943FEB" w:rsidP="00A550FE">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w:t>
            </w:r>
          </w:p>
          <w:p w:rsidR="00943FEB" w:rsidRPr="00A550FE" w:rsidRDefault="00943FEB" w:rsidP="00A550FE">
            <w:pPr>
              <w:widowControl w:val="0"/>
              <w:autoSpaceDE w:val="0"/>
              <w:autoSpaceDN w:val="0"/>
              <w:spacing w:line="240" w:lineRule="auto"/>
              <w:ind w:left="0" w:right="0"/>
              <w:rPr>
                <w:rFonts w:eastAsia="Calibri" w:cstheme="minorHAnsi"/>
              </w:rPr>
            </w:pPr>
            <w:r w:rsidRPr="00A550FE">
              <w:rPr>
                <w:rFonts w:eastAsia="Calibri" w:cstheme="minorHAnsi"/>
              </w:rPr>
              <w:t>needed.</w:t>
            </w:r>
          </w:p>
        </w:tc>
        <w:tc>
          <w:tcPr>
            <w:tcW w:w="1080" w:type="dxa"/>
            <w:vMerge/>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860"/>
        </w:trPr>
        <w:tc>
          <w:tcPr>
            <w:tcW w:w="144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5.9.1 Waste Disposal Assistance: Existing Actions</w:t>
            </w:r>
          </w:p>
        </w:tc>
        <w:tc>
          <w:tcPr>
            <w:tcW w:w="179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Conduct Public Education on products containing PCBs</w:t>
            </w:r>
          </w:p>
        </w:tc>
        <w:tc>
          <w:tcPr>
            <w:tcW w:w="136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Spokane River Forum</w:t>
            </w:r>
          </w:p>
        </w:tc>
        <w:tc>
          <w:tcPr>
            <w:tcW w:w="3150" w:type="dxa"/>
          </w:tcPr>
          <w:p w:rsidR="00943FEB" w:rsidRPr="00A550FE" w:rsidRDefault="00943FEB" w:rsidP="00A550FE">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w:t>
            </w:r>
          </w:p>
          <w:p w:rsidR="00943FEB" w:rsidRPr="00A550FE" w:rsidRDefault="00943FEB" w:rsidP="00A550FE">
            <w:pPr>
              <w:widowControl w:val="0"/>
              <w:autoSpaceDE w:val="0"/>
              <w:autoSpaceDN w:val="0"/>
              <w:spacing w:before="2" w:line="240" w:lineRule="auto"/>
              <w:ind w:left="102" w:right="0"/>
              <w:rPr>
                <w:rFonts w:eastAsia="Calibri" w:cstheme="minorHAnsi"/>
              </w:rPr>
            </w:pPr>
            <w:r w:rsidRPr="00A550FE">
              <w:rPr>
                <w:rFonts w:eastAsia="Calibri" w:cstheme="minorHAnsi"/>
              </w:rPr>
              <w:t>needed.  (PCBs in products)</w:t>
            </w:r>
          </w:p>
        </w:tc>
        <w:tc>
          <w:tcPr>
            <w:tcW w:w="108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860"/>
        </w:trPr>
        <w:tc>
          <w:tcPr>
            <w:tcW w:w="1440" w:type="dxa"/>
            <w:vMerge/>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Waste Directory</w:t>
            </w:r>
          </w:p>
        </w:tc>
        <w:tc>
          <w:tcPr>
            <w:tcW w:w="1360" w:type="dxa"/>
            <w:vMerge/>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before="1"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 needed.   (Link to the Waste</w:t>
            </w:r>
          </w:p>
          <w:p w:rsidR="00943FEB" w:rsidRPr="00A550FE" w:rsidRDefault="00943FEB" w:rsidP="00A550FE">
            <w:pPr>
              <w:widowControl w:val="0"/>
              <w:autoSpaceDE w:val="0"/>
              <w:autoSpaceDN w:val="0"/>
              <w:spacing w:before="2" w:line="240" w:lineRule="auto"/>
              <w:ind w:left="102" w:right="0"/>
              <w:rPr>
                <w:rFonts w:eastAsia="Calibri" w:cstheme="minorHAnsi"/>
              </w:rPr>
            </w:pPr>
            <w:r w:rsidRPr="00A550FE">
              <w:rPr>
                <w:rFonts w:eastAsia="Calibri" w:cstheme="minorHAnsi"/>
              </w:rPr>
              <w:t>Directory</w:t>
            </w:r>
          </w:p>
        </w:tc>
        <w:tc>
          <w:tcPr>
            <w:tcW w:w="1080" w:type="dxa"/>
            <w:vMerge/>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3"/>
              </w:numPr>
              <w:tabs>
                <w:tab w:val="left" w:pos="460"/>
                <w:tab w:val="left" w:pos="461"/>
              </w:tabs>
              <w:autoSpaceDE w:val="0"/>
              <w:autoSpaceDN w:val="0"/>
              <w:spacing w:before="1" w:line="240" w:lineRule="auto"/>
              <w:ind w:right="0"/>
              <w:rPr>
                <w:rFonts w:eastAsia="Calibri" w:cstheme="minorHAnsi"/>
              </w:rPr>
            </w:pPr>
            <w:r w:rsidRPr="00A550FE">
              <w:rPr>
                <w:rFonts w:eastAsia="Calibri" w:cstheme="minorHAnsi"/>
              </w:rPr>
              <w:t>Proper waste</w:t>
            </w:r>
            <w:r w:rsidRPr="00A550FE">
              <w:rPr>
                <w:rFonts w:eastAsia="Calibri" w:cstheme="minorHAnsi"/>
                <w:spacing w:val="-7"/>
              </w:rPr>
              <w:t xml:space="preserve"> </w:t>
            </w:r>
            <w:r w:rsidRPr="00A550FE">
              <w:rPr>
                <w:rFonts w:eastAsia="Calibri" w:cstheme="minorHAnsi"/>
              </w:rPr>
              <w:t>disposal</w:t>
            </w:r>
          </w:p>
          <w:p w:rsidR="00943FEB" w:rsidRPr="00A550FE" w:rsidRDefault="00943FEB" w:rsidP="00A550FE">
            <w:pPr>
              <w:widowControl w:val="0"/>
              <w:autoSpaceDE w:val="0"/>
              <w:autoSpaceDN w:val="0"/>
              <w:spacing w:line="240" w:lineRule="auto"/>
              <w:ind w:left="0" w:right="0"/>
              <w:rPr>
                <w:rFonts w:eastAsia="Calibri" w:cstheme="minorHAnsi"/>
              </w:rPr>
            </w:pPr>
            <w:r w:rsidRPr="00A550FE">
              <w:rPr>
                <w:rFonts w:eastAsia="Calibri" w:cstheme="minorHAnsi"/>
              </w:rPr>
              <w:t>Which products</w:t>
            </w:r>
            <w:r w:rsidRPr="00A550FE">
              <w:rPr>
                <w:rFonts w:eastAsia="Calibri" w:cstheme="minorHAnsi"/>
                <w:spacing w:val="-8"/>
              </w:rPr>
              <w:t xml:space="preserve"> </w:t>
            </w:r>
            <w:r w:rsidRPr="00A550FE">
              <w:rPr>
                <w:rFonts w:eastAsia="Calibri" w:cstheme="minorHAnsi"/>
              </w:rPr>
              <w:t>contain PCBs</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r w:rsidRPr="00A550FE">
              <w:rPr>
                <w:rFonts w:eastAsia="Calibri" w:cstheme="minorHAnsi"/>
              </w:rPr>
              <w:t>Voluntary programs that assist consumers and businesses</w:t>
            </w:r>
          </w:p>
        </w:tc>
      </w:tr>
      <w:tr w:rsidR="00943FEB" w:rsidRPr="00A550FE" w:rsidTr="00006475">
        <w:trPr>
          <w:trHeight w:val="1080"/>
        </w:trPr>
        <w:tc>
          <w:tcPr>
            <w:tcW w:w="144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5.9.2 Waste Disposal Assistance: New Actions</w:t>
            </w:r>
          </w:p>
        </w:tc>
        <w:tc>
          <w:tcPr>
            <w:tcW w:w="1790" w:type="dxa"/>
          </w:tcPr>
          <w:p w:rsidR="00943FEB" w:rsidRPr="00A550FE" w:rsidRDefault="00943FEB" w:rsidP="00A550FE">
            <w:pPr>
              <w:widowControl w:val="0"/>
              <w:autoSpaceDE w:val="0"/>
              <w:autoSpaceDN w:val="0"/>
              <w:spacing w:before="1" w:line="240" w:lineRule="auto"/>
              <w:ind w:left="103" w:right="379"/>
              <w:jc w:val="both"/>
              <w:rPr>
                <w:rFonts w:eastAsia="Calibri" w:cstheme="minorHAnsi"/>
              </w:rPr>
            </w:pPr>
            <w:r w:rsidRPr="00A550FE">
              <w:rPr>
                <w:rFonts w:eastAsia="Calibri" w:cstheme="minorHAnsi"/>
              </w:rPr>
              <w:t>Envirostars (or other local program) Small business</w:t>
            </w:r>
            <w:r w:rsidRPr="00A550FE">
              <w:rPr>
                <w:rFonts w:eastAsia="Calibri" w:cstheme="minorHAnsi"/>
                <w:spacing w:val="-13"/>
              </w:rPr>
              <w:t xml:space="preserve"> </w:t>
            </w:r>
            <w:r w:rsidRPr="00A550FE">
              <w:rPr>
                <w:rFonts w:eastAsia="Calibri" w:cstheme="minorHAnsi"/>
              </w:rPr>
              <w:t>certification</w:t>
            </w:r>
          </w:p>
        </w:tc>
        <w:tc>
          <w:tcPr>
            <w:tcW w:w="136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State of Washington State of Idaho</w:t>
            </w:r>
          </w:p>
        </w:tc>
        <w:tc>
          <w:tcPr>
            <w:tcW w:w="3150" w:type="dxa"/>
          </w:tcPr>
          <w:p w:rsidR="00943FEB" w:rsidRPr="00A550FE" w:rsidRDefault="00943FEB" w:rsidP="00A550FE">
            <w:pPr>
              <w:widowControl w:val="0"/>
              <w:autoSpaceDE w:val="0"/>
              <w:autoSpaceDN w:val="0"/>
              <w:spacing w:before="1" w:line="240" w:lineRule="auto"/>
              <w:ind w:left="102" w:right="281"/>
              <w:rPr>
                <w:rFonts w:eastAsia="Calibri" w:cstheme="minorHAnsi"/>
              </w:rPr>
            </w:pPr>
            <w:r w:rsidRPr="00A550FE">
              <w:rPr>
                <w:rFonts w:eastAsia="Calibri" w:cstheme="minorHAnsi"/>
              </w:rPr>
              <w:t>-Provide feedback from the Task Force on incorporating PCB related issues into the Envirostars (or equivalent program)</w:t>
            </w:r>
          </w:p>
        </w:tc>
        <w:tc>
          <w:tcPr>
            <w:tcW w:w="108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2"/>
              </w:numPr>
              <w:tabs>
                <w:tab w:val="left" w:pos="460"/>
                <w:tab w:val="left" w:pos="461"/>
              </w:tabs>
              <w:autoSpaceDE w:val="0"/>
              <w:autoSpaceDN w:val="0"/>
              <w:spacing w:before="1" w:line="240" w:lineRule="auto"/>
              <w:ind w:right="356"/>
              <w:rPr>
                <w:rFonts w:eastAsia="Calibri" w:cstheme="minorHAnsi"/>
              </w:rPr>
            </w:pPr>
            <w:r w:rsidRPr="00A550FE">
              <w:rPr>
                <w:rFonts w:eastAsia="Calibri" w:cstheme="minorHAnsi"/>
              </w:rPr>
              <w:t>Practices and policies demonstrating proper management and reduction of</w:t>
            </w:r>
            <w:r w:rsidRPr="00A550FE">
              <w:rPr>
                <w:rFonts w:eastAsia="Calibri" w:cstheme="minorHAnsi"/>
                <w:spacing w:val="-11"/>
              </w:rPr>
              <w:t xml:space="preserve"> </w:t>
            </w:r>
            <w:r w:rsidRPr="00A550FE">
              <w:rPr>
                <w:rFonts w:eastAsia="Calibri" w:cstheme="minorHAnsi"/>
              </w:rPr>
              <w:t>hazardous</w:t>
            </w:r>
          </w:p>
          <w:p w:rsidR="00943FEB" w:rsidRPr="00A550FE" w:rsidRDefault="00943FEB" w:rsidP="00A550FE">
            <w:pPr>
              <w:widowControl w:val="0"/>
              <w:autoSpaceDE w:val="0"/>
              <w:autoSpaceDN w:val="0"/>
              <w:spacing w:before="1" w:line="240" w:lineRule="auto"/>
              <w:ind w:left="460" w:right="0"/>
              <w:rPr>
                <w:rFonts w:eastAsia="Calibri" w:cstheme="minorHAnsi"/>
              </w:rPr>
            </w:pPr>
            <w:r w:rsidRPr="00A550FE">
              <w:rPr>
                <w:rFonts w:eastAsia="Calibri" w:cstheme="minorHAnsi"/>
              </w:rPr>
              <w:t>and other waste</w:t>
            </w:r>
          </w:p>
        </w:tc>
        <w:tc>
          <w:tcPr>
            <w:tcW w:w="207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widowControl w:val="0"/>
              <w:autoSpaceDE w:val="0"/>
              <w:autoSpaceDN w:val="0"/>
              <w:spacing w:line="240" w:lineRule="auto"/>
              <w:ind w:left="100" w:right="325"/>
              <w:rPr>
                <w:rFonts w:eastAsia="Calibri" w:cstheme="minorHAnsi"/>
              </w:rPr>
            </w:pPr>
            <w:r w:rsidRPr="00A550FE">
              <w:rPr>
                <w:rFonts w:eastAsia="Calibri" w:cstheme="minorHAnsi"/>
              </w:rPr>
              <w:t>Recommendations to be provided to the</w:t>
            </w:r>
          </w:p>
          <w:p w:rsidR="00943FEB" w:rsidRPr="00A550FE" w:rsidRDefault="00943FEB" w:rsidP="00A550FE">
            <w:pPr>
              <w:widowControl w:val="0"/>
              <w:autoSpaceDE w:val="0"/>
              <w:autoSpaceDN w:val="0"/>
              <w:spacing w:before="2" w:line="240" w:lineRule="auto"/>
              <w:ind w:left="100" w:right="0"/>
              <w:rPr>
                <w:rFonts w:eastAsia="Calibri" w:cstheme="minorHAnsi"/>
              </w:rPr>
            </w:pPr>
            <w:r w:rsidRPr="00A550FE">
              <w:rPr>
                <w:rFonts w:eastAsia="Calibri" w:cstheme="minorHAnsi"/>
              </w:rPr>
              <w:t>“implementing</w:t>
            </w:r>
          </w:p>
          <w:p w:rsidR="00943FEB" w:rsidRPr="00A550FE" w:rsidRDefault="00943FEB" w:rsidP="00A550FE">
            <w:pPr>
              <w:spacing w:line="240" w:lineRule="auto"/>
              <w:rPr>
                <w:rFonts w:eastAsia="Calibri" w:cstheme="minorHAnsi"/>
              </w:rPr>
            </w:pPr>
            <w:r w:rsidRPr="00A550FE">
              <w:rPr>
                <w:rFonts w:eastAsia="Calibri" w:cstheme="minorHAnsi"/>
              </w:rPr>
              <w:t>organizations”</w:t>
            </w:r>
          </w:p>
        </w:tc>
      </w:tr>
      <w:tr w:rsidR="00943FEB" w:rsidRPr="00A550FE" w:rsidTr="00006475">
        <w:trPr>
          <w:trHeight w:val="110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Mercury-Containing Lights Stewardship Program: Adapt to include PCB-containing</w:t>
            </w:r>
          </w:p>
          <w:p w:rsidR="00943FEB" w:rsidRPr="00A550FE" w:rsidRDefault="00943FEB" w:rsidP="00A550FE">
            <w:pPr>
              <w:widowControl w:val="0"/>
              <w:autoSpaceDE w:val="0"/>
              <w:autoSpaceDN w:val="0"/>
              <w:spacing w:before="1" w:line="240" w:lineRule="auto"/>
              <w:ind w:left="103" w:right="379"/>
              <w:jc w:val="both"/>
              <w:rPr>
                <w:rFonts w:eastAsia="Calibri" w:cstheme="minorHAnsi"/>
              </w:rPr>
            </w:pPr>
            <w:r w:rsidRPr="00A550FE">
              <w:rPr>
                <w:rFonts w:eastAsia="Calibri" w:cstheme="minorHAnsi"/>
              </w:rPr>
              <w:t>wastes</w:t>
            </w:r>
          </w:p>
        </w:tc>
        <w:tc>
          <w:tcPr>
            <w:tcW w:w="1360" w:type="dxa"/>
            <w:vMerge/>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before="1" w:line="240" w:lineRule="auto"/>
              <w:ind w:left="102" w:right="281"/>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before="1" w:line="240" w:lineRule="auto"/>
              <w:ind w:left="460" w:right="0"/>
              <w:rPr>
                <w:rFonts w:eastAsia="Calibri" w:cstheme="minorHAnsi"/>
              </w:rPr>
            </w:pPr>
          </w:p>
        </w:tc>
        <w:tc>
          <w:tcPr>
            <w:tcW w:w="2070" w:type="dxa"/>
            <w:vMerge/>
            <w:tcBorders>
              <w:top w:val="nil"/>
            </w:tcBorders>
          </w:tcPr>
          <w:p w:rsidR="00943FEB" w:rsidRPr="00A550FE" w:rsidRDefault="00943FEB" w:rsidP="00A550FE">
            <w:pPr>
              <w:spacing w:line="240" w:lineRule="auto"/>
              <w:rPr>
                <w:rFonts w:eastAsia="Calibri" w:cstheme="minorHAnsi"/>
              </w:rPr>
            </w:pPr>
          </w:p>
        </w:tc>
      </w:tr>
      <w:tr w:rsidR="00943FEB" w:rsidRPr="00A550FE" w:rsidTr="00006475">
        <w:trPr>
          <w:trHeight w:val="1080"/>
        </w:trPr>
        <w:tc>
          <w:tcPr>
            <w:tcW w:w="1440" w:type="dxa"/>
            <w:vMerge/>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before="2" w:line="240" w:lineRule="auto"/>
              <w:ind w:left="103" w:right="0"/>
              <w:rPr>
                <w:rFonts w:eastAsia="Calibri" w:cstheme="minorHAnsi"/>
              </w:rPr>
            </w:pPr>
            <w:r w:rsidRPr="00A550FE">
              <w:rPr>
                <w:rFonts w:eastAsia="Calibri" w:cstheme="minorHAnsi"/>
              </w:rPr>
              <w:t>Provide Recommendations</w:t>
            </w:r>
          </w:p>
        </w:tc>
        <w:tc>
          <w:tcPr>
            <w:tcW w:w="1360" w:type="dxa"/>
          </w:tcPr>
          <w:p w:rsidR="00943FEB" w:rsidRPr="00A550FE" w:rsidRDefault="00943FEB" w:rsidP="00A550FE">
            <w:pPr>
              <w:widowControl w:val="0"/>
              <w:autoSpaceDE w:val="0"/>
              <w:autoSpaceDN w:val="0"/>
              <w:spacing w:line="240" w:lineRule="auto"/>
              <w:ind w:left="102" w:right="462"/>
              <w:rPr>
                <w:rFonts w:eastAsia="Calibri" w:cstheme="minorHAnsi"/>
              </w:rPr>
            </w:pPr>
            <w:r w:rsidRPr="00A550FE">
              <w:rPr>
                <w:rFonts w:eastAsia="Calibri" w:cstheme="minorHAnsi"/>
              </w:rPr>
              <w:t>SRRTTF</w:t>
            </w: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vMerge/>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r w:rsidRPr="00A550FE">
              <w:rPr>
                <w:rFonts w:eastAsia="Calibri" w:cstheme="minorHAnsi"/>
              </w:rPr>
              <w:t>How to better control PCB-containing</w:t>
            </w:r>
            <w:r w:rsidRPr="00A550FE">
              <w:rPr>
                <w:rFonts w:eastAsia="Calibri" w:cstheme="minorHAnsi"/>
                <w:spacing w:val="-9"/>
              </w:rPr>
              <w:t xml:space="preserve"> </w:t>
            </w:r>
            <w:r w:rsidRPr="00A550FE">
              <w:rPr>
                <w:rFonts w:eastAsia="Calibri" w:cstheme="minorHAnsi"/>
              </w:rPr>
              <w:t>wastes</w:t>
            </w:r>
          </w:p>
        </w:tc>
        <w:tc>
          <w:tcPr>
            <w:tcW w:w="2070" w:type="dxa"/>
            <w:vMerge/>
          </w:tcPr>
          <w:p w:rsidR="00943FEB" w:rsidRPr="00A550FE" w:rsidRDefault="00943FEB" w:rsidP="00A550FE">
            <w:pPr>
              <w:spacing w:line="240" w:lineRule="auto"/>
              <w:rPr>
                <w:rFonts w:eastAsia="Calibri" w:cstheme="minorHAnsi"/>
              </w:rPr>
            </w:pPr>
          </w:p>
        </w:tc>
      </w:tr>
      <w:tr w:rsidR="00943FEB" w:rsidRPr="00A550FE" w:rsidTr="00006475">
        <w:trPr>
          <w:trHeight w:val="2286"/>
        </w:trPr>
        <w:tc>
          <w:tcPr>
            <w:tcW w:w="1440" w:type="dxa"/>
            <w:vMerge w:val="restart"/>
            <w:tcBorders>
              <w:top w:val="nil"/>
            </w:tcBorders>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Raise public awareness</w:t>
            </w:r>
          </w:p>
        </w:tc>
        <w:tc>
          <w:tcPr>
            <w:tcW w:w="1360" w:type="dxa"/>
            <w:vMerge w:val="restart"/>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before="10" w:line="240" w:lineRule="auto"/>
              <w:ind w:left="0" w:right="0"/>
              <w:rPr>
                <w:rFonts w:eastAsia="Calibri" w:cstheme="minorHAnsi"/>
              </w:rPr>
            </w:pPr>
          </w:p>
          <w:p w:rsidR="00943FEB" w:rsidRPr="00A550FE" w:rsidRDefault="00943FEB" w:rsidP="00A550FE">
            <w:pPr>
              <w:widowControl w:val="0"/>
              <w:autoSpaceDE w:val="0"/>
              <w:autoSpaceDN w:val="0"/>
              <w:spacing w:line="240" w:lineRule="auto"/>
              <w:ind w:left="102" w:right="291"/>
              <w:rPr>
                <w:rFonts w:eastAsia="Calibri" w:cstheme="minorHAnsi"/>
              </w:rPr>
            </w:pPr>
            <w:r w:rsidRPr="00A550FE">
              <w:rPr>
                <w:rFonts w:eastAsia="Calibri" w:cstheme="minorHAnsi"/>
              </w:rPr>
              <w:t>-Quarterly check in with the Waste Disposal Work group and update outreach materials.</w:t>
            </w:r>
          </w:p>
          <w:p w:rsidR="00943FEB" w:rsidRPr="00A550FE" w:rsidRDefault="00943FEB" w:rsidP="00A550FE">
            <w:pPr>
              <w:widowControl w:val="0"/>
              <w:autoSpaceDE w:val="0"/>
              <w:autoSpaceDN w:val="0"/>
              <w:spacing w:before="3" w:line="240" w:lineRule="auto"/>
              <w:ind w:left="0" w:right="0"/>
              <w:rPr>
                <w:rFonts w:eastAsia="Calibri" w:cstheme="minorHAnsi"/>
              </w:rPr>
            </w:pPr>
          </w:p>
          <w:p w:rsidR="00943FEB" w:rsidRPr="00A550FE" w:rsidRDefault="00943FEB" w:rsidP="00A550FE">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 needed.</w:t>
            </w:r>
          </w:p>
        </w:tc>
        <w:tc>
          <w:tcPr>
            <w:tcW w:w="1080" w:type="dxa"/>
            <w:vMerge w:val="restart"/>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1"/>
              </w:numPr>
              <w:tabs>
                <w:tab w:val="left" w:pos="460"/>
                <w:tab w:val="left" w:pos="461"/>
              </w:tabs>
              <w:autoSpaceDE w:val="0"/>
              <w:autoSpaceDN w:val="0"/>
              <w:spacing w:line="240" w:lineRule="auto"/>
              <w:ind w:right="151"/>
              <w:rPr>
                <w:rFonts w:eastAsia="Calibri" w:cstheme="minorHAnsi"/>
              </w:rPr>
            </w:pPr>
            <w:r w:rsidRPr="00A550FE">
              <w:rPr>
                <w:rFonts w:eastAsia="Calibri" w:cstheme="minorHAnsi"/>
              </w:rPr>
              <w:t>How to identify and dispose of</w:t>
            </w:r>
            <w:r w:rsidRPr="00A550FE">
              <w:rPr>
                <w:rFonts w:eastAsia="Calibri" w:cstheme="minorHAnsi"/>
                <w:spacing w:val="-9"/>
              </w:rPr>
              <w:t xml:space="preserve"> </w:t>
            </w:r>
            <w:r w:rsidRPr="00A550FE">
              <w:rPr>
                <w:rFonts w:eastAsia="Calibri" w:cstheme="minorHAnsi"/>
              </w:rPr>
              <w:t>PCB-containing items</w:t>
            </w: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7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790" w:type="dxa"/>
          </w:tcPr>
          <w:p w:rsidR="00943FEB" w:rsidRPr="00A550FE" w:rsidRDefault="00943FEB" w:rsidP="00A550FE">
            <w:pPr>
              <w:widowControl w:val="0"/>
              <w:autoSpaceDE w:val="0"/>
              <w:autoSpaceDN w:val="0"/>
              <w:spacing w:line="240" w:lineRule="auto"/>
              <w:ind w:left="103" w:right="0"/>
              <w:rPr>
                <w:rFonts w:eastAsia="Calibri" w:cstheme="minorHAnsi"/>
              </w:rPr>
            </w:pPr>
          </w:p>
        </w:tc>
        <w:tc>
          <w:tcPr>
            <w:tcW w:w="1360" w:type="dxa"/>
            <w:vMerge/>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before="1" w:line="240" w:lineRule="auto"/>
              <w:ind w:left="102" w:right="0"/>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1"/>
              </w:numPr>
              <w:tabs>
                <w:tab w:val="left" w:pos="460"/>
                <w:tab w:val="left" w:pos="461"/>
              </w:tabs>
              <w:autoSpaceDE w:val="0"/>
              <w:autoSpaceDN w:val="0"/>
              <w:spacing w:line="240" w:lineRule="auto"/>
              <w:ind w:right="151"/>
              <w:rPr>
                <w:rFonts w:eastAsia="Calibri" w:cstheme="minorHAnsi"/>
              </w:rPr>
            </w:pPr>
          </w:p>
        </w:tc>
        <w:tc>
          <w:tcPr>
            <w:tcW w:w="2070" w:type="dxa"/>
          </w:tcPr>
          <w:p w:rsidR="00943FEB" w:rsidRPr="00A550FE" w:rsidRDefault="00943FEB" w:rsidP="00A550FE">
            <w:pPr>
              <w:widowControl w:val="0"/>
              <w:autoSpaceDE w:val="0"/>
              <w:autoSpaceDN w:val="0"/>
              <w:spacing w:line="240" w:lineRule="auto"/>
              <w:ind w:left="0" w:right="0"/>
              <w:rPr>
                <w:rFonts w:eastAsia="Calibri" w:cstheme="minorHAnsi"/>
              </w:rPr>
            </w:pPr>
          </w:p>
        </w:tc>
      </w:tr>
    </w:tbl>
    <w:p w:rsidR="00943FEB" w:rsidRPr="00A550FE" w:rsidRDefault="00943FEB" w:rsidP="00A550FE">
      <w:pPr>
        <w:widowControl w:val="0"/>
        <w:autoSpaceDE w:val="0"/>
        <w:autoSpaceDN w:val="0"/>
        <w:spacing w:before="5" w:line="240" w:lineRule="auto"/>
        <w:ind w:left="0" w:right="0"/>
        <w:rPr>
          <w:rFonts w:eastAsia="Calibri" w:cstheme="minorHAnsi"/>
        </w:rPr>
      </w:pPr>
    </w:p>
    <w:tbl>
      <w:tblPr>
        <w:tblW w:w="133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240"/>
        <w:gridCol w:w="910"/>
        <w:gridCol w:w="3150"/>
        <w:gridCol w:w="1080"/>
        <w:gridCol w:w="2870"/>
        <w:gridCol w:w="1630"/>
      </w:tblGrid>
      <w:tr w:rsidR="00943FEB" w:rsidRPr="00A550FE" w:rsidTr="00006475">
        <w:trPr>
          <w:trHeight w:val="420"/>
        </w:trPr>
        <w:tc>
          <w:tcPr>
            <w:tcW w:w="144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Item</w:t>
            </w:r>
          </w:p>
        </w:tc>
        <w:tc>
          <w:tcPr>
            <w:tcW w:w="224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Action</w:t>
            </w:r>
          </w:p>
        </w:tc>
        <w:tc>
          <w:tcPr>
            <w:tcW w:w="91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Responsibility</w:t>
            </w:r>
          </w:p>
        </w:tc>
        <w:tc>
          <w:tcPr>
            <w:tcW w:w="315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Education and Outreach Work</w:t>
            </w:r>
          </w:p>
          <w:p w:rsidR="00943FEB" w:rsidRPr="00A550FE" w:rsidRDefault="00943FEB" w:rsidP="00A550FE">
            <w:pPr>
              <w:widowControl w:val="0"/>
              <w:autoSpaceDE w:val="0"/>
              <w:autoSpaceDN w:val="0"/>
              <w:spacing w:before="1" w:line="240" w:lineRule="auto"/>
              <w:ind w:left="100" w:right="0"/>
              <w:rPr>
                <w:rFonts w:eastAsia="Calibri" w:cstheme="minorHAnsi"/>
                <w:b/>
              </w:rPr>
            </w:pPr>
            <w:r w:rsidRPr="00A550FE">
              <w:rPr>
                <w:rFonts w:eastAsia="Calibri" w:cstheme="minorHAnsi"/>
                <w:b/>
              </w:rPr>
              <w:t>Group Role/Action</w:t>
            </w:r>
          </w:p>
        </w:tc>
        <w:tc>
          <w:tcPr>
            <w:tcW w:w="108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Timeframe</w:t>
            </w:r>
          </w:p>
        </w:tc>
        <w:tc>
          <w:tcPr>
            <w:tcW w:w="287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Key messages</w:t>
            </w:r>
          </w:p>
        </w:tc>
        <w:tc>
          <w:tcPr>
            <w:tcW w:w="163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Comments</w:t>
            </w:r>
          </w:p>
        </w:tc>
      </w:tr>
      <w:tr w:rsidR="00943FEB" w:rsidRPr="00A550FE" w:rsidTr="00006475">
        <w:trPr>
          <w:trHeight w:val="5720"/>
        </w:trPr>
        <w:tc>
          <w:tcPr>
            <w:tcW w:w="1440" w:type="dxa"/>
          </w:tcPr>
          <w:p w:rsidR="00943FEB" w:rsidRPr="00A550FE" w:rsidRDefault="00943FEB" w:rsidP="00A550FE">
            <w:pPr>
              <w:widowControl w:val="0"/>
              <w:autoSpaceDE w:val="0"/>
              <w:autoSpaceDN w:val="0"/>
              <w:spacing w:line="240" w:lineRule="auto"/>
              <w:ind w:left="102" w:right="268"/>
              <w:rPr>
                <w:rFonts w:eastAsia="Calibri" w:cstheme="minorHAnsi"/>
              </w:rPr>
            </w:pPr>
            <w:r w:rsidRPr="00A550FE">
              <w:rPr>
                <w:rFonts w:eastAsia="Calibri" w:cstheme="minorHAnsi"/>
              </w:rPr>
              <w:t>5.13 Building Demolition and Renovation Control</w:t>
            </w:r>
          </w:p>
        </w:tc>
        <w:tc>
          <w:tcPr>
            <w:tcW w:w="2240" w:type="dxa"/>
          </w:tcPr>
          <w:p w:rsidR="00943FEB" w:rsidRPr="00A550FE" w:rsidRDefault="00943FEB" w:rsidP="00A550FE">
            <w:pPr>
              <w:widowControl w:val="0"/>
              <w:autoSpaceDE w:val="0"/>
              <w:autoSpaceDN w:val="0"/>
              <w:spacing w:line="240" w:lineRule="auto"/>
              <w:ind w:left="103" w:right="164"/>
              <w:rPr>
                <w:rFonts w:eastAsia="Calibri" w:cstheme="minorHAnsi"/>
              </w:rPr>
            </w:pPr>
            <w:r w:rsidRPr="00A550FE">
              <w:rPr>
                <w:rFonts w:eastAsia="Calibri" w:cstheme="minorHAnsi"/>
              </w:rPr>
              <w:t>Provide educational materials for demolition and renovation contractors</w:t>
            </w:r>
          </w:p>
          <w:p w:rsidR="00943FEB" w:rsidRPr="00A550FE" w:rsidRDefault="00943FEB" w:rsidP="00A550FE">
            <w:pPr>
              <w:widowControl w:val="0"/>
              <w:numPr>
                <w:ilvl w:val="0"/>
                <w:numId w:val="30"/>
              </w:numPr>
              <w:tabs>
                <w:tab w:val="left" w:pos="463"/>
              </w:tabs>
              <w:autoSpaceDE w:val="0"/>
              <w:autoSpaceDN w:val="0"/>
              <w:spacing w:line="240" w:lineRule="auto"/>
              <w:ind w:right="383"/>
              <w:jc w:val="both"/>
              <w:rPr>
                <w:rFonts w:eastAsia="Calibri" w:cstheme="minorHAnsi"/>
              </w:rPr>
            </w:pPr>
            <w:r w:rsidRPr="00A550FE">
              <w:rPr>
                <w:rFonts w:eastAsia="Calibri" w:cstheme="minorHAnsi"/>
              </w:rPr>
              <w:t>Work with relevant local government agencies for distribution with permits related to demolition</w:t>
            </w:r>
            <w:r w:rsidRPr="00A550FE">
              <w:rPr>
                <w:rFonts w:eastAsia="Calibri" w:cstheme="minorHAnsi"/>
                <w:spacing w:val="-7"/>
              </w:rPr>
              <w:t xml:space="preserve"> </w:t>
            </w:r>
            <w:r w:rsidRPr="00A550FE">
              <w:rPr>
                <w:rFonts w:eastAsia="Calibri" w:cstheme="minorHAnsi"/>
              </w:rPr>
              <w:t>and renovation</w:t>
            </w:r>
            <w:r w:rsidRPr="00A550FE">
              <w:rPr>
                <w:rFonts w:eastAsia="Calibri" w:cstheme="minorHAnsi"/>
                <w:spacing w:val="-6"/>
              </w:rPr>
              <w:t xml:space="preserve"> </w:t>
            </w:r>
            <w:r w:rsidRPr="00A550FE">
              <w:rPr>
                <w:rFonts w:eastAsia="Calibri" w:cstheme="minorHAnsi"/>
              </w:rPr>
              <w:t>activities</w:t>
            </w:r>
          </w:p>
        </w:tc>
        <w:tc>
          <w:tcPr>
            <w:tcW w:w="91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SRRTTF</w:t>
            </w:r>
          </w:p>
        </w:tc>
        <w:tc>
          <w:tcPr>
            <w:tcW w:w="3150" w:type="dxa"/>
          </w:tcPr>
          <w:p w:rsidR="00943FEB" w:rsidRPr="00A550FE" w:rsidRDefault="00943FEB" w:rsidP="00A550FE">
            <w:pPr>
              <w:widowControl w:val="0"/>
              <w:autoSpaceDE w:val="0"/>
              <w:autoSpaceDN w:val="0"/>
              <w:spacing w:line="240" w:lineRule="auto"/>
              <w:ind w:left="100" w:right="403"/>
              <w:rPr>
                <w:rFonts w:eastAsia="Calibri" w:cstheme="minorHAnsi"/>
              </w:rPr>
            </w:pPr>
            <w:r w:rsidRPr="00A550FE">
              <w:rPr>
                <w:rFonts w:eastAsia="Calibri" w:cstheme="minorHAnsi"/>
              </w:rPr>
              <w:t>-Quarterly: Check in with the Demolition and Renovation Control Work Group</w:t>
            </w:r>
          </w:p>
          <w:p w:rsidR="00943FEB" w:rsidRPr="00A550FE" w:rsidRDefault="00943FEB" w:rsidP="00A550FE">
            <w:pPr>
              <w:widowControl w:val="0"/>
              <w:autoSpaceDE w:val="0"/>
              <w:autoSpaceDN w:val="0"/>
              <w:spacing w:line="240" w:lineRule="auto"/>
              <w:ind w:left="100" w:right="356"/>
              <w:jc w:val="both"/>
              <w:rPr>
                <w:rFonts w:eastAsia="Calibri" w:cstheme="minorHAnsi"/>
              </w:rPr>
            </w:pPr>
            <w:r w:rsidRPr="00A550FE">
              <w:rPr>
                <w:rFonts w:eastAsia="Calibri" w:cstheme="minorHAnsi"/>
              </w:rPr>
              <w:t>-Post, distribute, information developed and/or adapted by the D&amp;RC work Group.</w:t>
            </w:r>
          </w:p>
          <w:p w:rsidR="00943FEB" w:rsidRPr="00A550FE" w:rsidRDefault="00943FEB" w:rsidP="00A550FE">
            <w:pPr>
              <w:widowControl w:val="0"/>
              <w:autoSpaceDE w:val="0"/>
              <w:autoSpaceDN w:val="0"/>
              <w:spacing w:before="1" w:line="240" w:lineRule="auto"/>
              <w:ind w:left="100" w:right="143"/>
              <w:rPr>
                <w:rFonts w:eastAsia="Calibri" w:cstheme="minorHAnsi"/>
              </w:rPr>
            </w:pPr>
            <w:r w:rsidRPr="00A550FE">
              <w:rPr>
                <w:rFonts w:eastAsia="Calibri" w:cstheme="minorHAnsi"/>
              </w:rPr>
              <w:t>-Develop and distribute audience specific outreach materials on building renovation and demolition.</w:t>
            </w: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870" w:type="dxa"/>
          </w:tcPr>
          <w:p w:rsidR="00943FEB" w:rsidRPr="00A550FE" w:rsidRDefault="00943FEB" w:rsidP="00A550FE">
            <w:pPr>
              <w:widowControl w:val="0"/>
              <w:numPr>
                <w:ilvl w:val="0"/>
                <w:numId w:val="29"/>
              </w:numPr>
              <w:tabs>
                <w:tab w:val="left" w:pos="462"/>
                <w:tab w:val="left" w:pos="463"/>
              </w:tabs>
              <w:autoSpaceDE w:val="0"/>
              <w:autoSpaceDN w:val="0"/>
              <w:spacing w:line="240" w:lineRule="auto"/>
              <w:ind w:right="233"/>
              <w:rPr>
                <w:rFonts w:eastAsia="Calibri" w:cstheme="minorHAnsi"/>
              </w:rPr>
            </w:pPr>
            <w:r w:rsidRPr="00A550FE">
              <w:rPr>
                <w:rFonts w:eastAsia="Calibri" w:cstheme="minorHAnsi"/>
              </w:rPr>
              <w:t>Proper methods of management of PCB- containing materials</w:t>
            </w:r>
            <w:r w:rsidRPr="00A550FE">
              <w:rPr>
                <w:rFonts w:eastAsia="Calibri" w:cstheme="minorHAnsi"/>
                <w:spacing w:val="-8"/>
              </w:rPr>
              <w:t xml:space="preserve"> </w:t>
            </w:r>
            <w:r w:rsidRPr="00A550FE">
              <w:rPr>
                <w:rFonts w:eastAsia="Calibri" w:cstheme="minorHAnsi"/>
              </w:rPr>
              <w:t>and waste during building demolition and renovation</w:t>
            </w:r>
          </w:p>
          <w:p w:rsidR="00943FEB" w:rsidRPr="00A550FE" w:rsidRDefault="00943FEB" w:rsidP="00A550FE">
            <w:pPr>
              <w:widowControl w:val="0"/>
              <w:numPr>
                <w:ilvl w:val="0"/>
                <w:numId w:val="29"/>
              </w:numPr>
              <w:tabs>
                <w:tab w:val="left" w:pos="283"/>
              </w:tabs>
              <w:autoSpaceDE w:val="0"/>
              <w:autoSpaceDN w:val="0"/>
              <w:spacing w:before="2" w:line="240" w:lineRule="auto"/>
              <w:ind w:left="283" w:right="0" w:hanging="180"/>
              <w:rPr>
                <w:rFonts w:eastAsia="Calibri" w:cstheme="minorHAnsi"/>
              </w:rPr>
            </w:pPr>
            <w:r w:rsidRPr="00A550FE">
              <w:rPr>
                <w:rFonts w:eastAsia="Calibri" w:cstheme="minorHAnsi"/>
              </w:rPr>
              <w:t>Best Management</w:t>
            </w:r>
            <w:r w:rsidRPr="00A550FE">
              <w:rPr>
                <w:rFonts w:eastAsia="Calibri" w:cstheme="minorHAnsi"/>
                <w:spacing w:val="-6"/>
              </w:rPr>
              <w:t xml:space="preserve"> </w:t>
            </w:r>
            <w:r w:rsidRPr="00A550FE">
              <w:rPr>
                <w:rFonts w:eastAsia="Calibri" w:cstheme="minorHAnsi"/>
              </w:rPr>
              <w:t>Practices</w:t>
            </w:r>
          </w:p>
          <w:p w:rsidR="00943FEB" w:rsidRPr="00A550FE" w:rsidRDefault="00943FEB" w:rsidP="00A550FE">
            <w:pPr>
              <w:widowControl w:val="0"/>
              <w:numPr>
                <w:ilvl w:val="0"/>
                <w:numId w:val="28"/>
              </w:numPr>
              <w:tabs>
                <w:tab w:val="left" w:pos="283"/>
              </w:tabs>
              <w:autoSpaceDE w:val="0"/>
              <w:autoSpaceDN w:val="0"/>
              <w:spacing w:before="3" w:line="240" w:lineRule="auto"/>
              <w:ind w:right="912"/>
              <w:rPr>
                <w:rFonts w:eastAsia="Calibri" w:cstheme="minorHAnsi"/>
              </w:rPr>
            </w:pPr>
            <w:r w:rsidRPr="00A550FE">
              <w:rPr>
                <w:rFonts w:eastAsia="Calibri" w:cstheme="minorHAnsi"/>
              </w:rPr>
              <w:t>Building</w:t>
            </w:r>
            <w:r w:rsidRPr="00A550FE">
              <w:rPr>
                <w:rFonts w:eastAsia="Calibri" w:cstheme="minorHAnsi"/>
                <w:spacing w:val="-7"/>
              </w:rPr>
              <w:t xml:space="preserve"> </w:t>
            </w:r>
            <w:r w:rsidRPr="00A550FE">
              <w:rPr>
                <w:rFonts w:eastAsia="Calibri" w:cstheme="minorHAnsi"/>
              </w:rPr>
              <w:t>occupant notification</w:t>
            </w:r>
          </w:p>
          <w:p w:rsidR="00943FEB" w:rsidRPr="00A550FE" w:rsidRDefault="00943FEB" w:rsidP="00A550FE">
            <w:pPr>
              <w:widowControl w:val="0"/>
              <w:numPr>
                <w:ilvl w:val="0"/>
                <w:numId w:val="28"/>
              </w:numPr>
              <w:tabs>
                <w:tab w:val="left" w:pos="283"/>
              </w:tabs>
              <w:autoSpaceDE w:val="0"/>
              <w:autoSpaceDN w:val="0"/>
              <w:spacing w:line="240" w:lineRule="auto"/>
              <w:ind w:right="0"/>
              <w:rPr>
                <w:rFonts w:eastAsia="Calibri" w:cstheme="minorHAnsi"/>
              </w:rPr>
            </w:pPr>
            <w:r w:rsidRPr="00A550FE">
              <w:rPr>
                <w:rFonts w:eastAsia="Calibri" w:cstheme="minorHAnsi"/>
              </w:rPr>
              <w:t>Working</w:t>
            </w:r>
            <w:r w:rsidRPr="00A550FE">
              <w:rPr>
                <w:rFonts w:eastAsia="Calibri" w:cstheme="minorHAnsi"/>
                <w:spacing w:val="-7"/>
              </w:rPr>
              <w:t xml:space="preserve"> </w:t>
            </w:r>
            <w:r w:rsidRPr="00A550FE">
              <w:rPr>
                <w:rFonts w:eastAsia="Calibri" w:cstheme="minorHAnsi"/>
              </w:rPr>
              <w:t>training</w:t>
            </w:r>
          </w:p>
          <w:p w:rsidR="00943FEB" w:rsidRPr="00A550FE" w:rsidRDefault="00943FEB" w:rsidP="00A550FE">
            <w:pPr>
              <w:widowControl w:val="0"/>
              <w:numPr>
                <w:ilvl w:val="0"/>
                <w:numId w:val="28"/>
              </w:numPr>
              <w:tabs>
                <w:tab w:val="left" w:pos="283"/>
              </w:tabs>
              <w:autoSpaceDE w:val="0"/>
              <w:autoSpaceDN w:val="0"/>
              <w:spacing w:line="240" w:lineRule="auto"/>
              <w:ind w:right="372"/>
              <w:rPr>
                <w:rFonts w:eastAsia="Calibri" w:cstheme="minorHAnsi"/>
              </w:rPr>
            </w:pPr>
            <w:r w:rsidRPr="00A550FE">
              <w:rPr>
                <w:rFonts w:eastAsia="Calibri" w:cstheme="minorHAnsi"/>
              </w:rPr>
              <w:t>Personal protective equipment, protection</w:t>
            </w:r>
            <w:r w:rsidRPr="00A550FE">
              <w:rPr>
                <w:rFonts w:eastAsia="Calibri" w:cstheme="minorHAnsi"/>
                <w:spacing w:val="-8"/>
              </w:rPr>
              <w:t xml:space="preserve"> </w:t>
            </w:r>
            <w:r w:rsidRPr="00A550FE">
              <w:rPr>
                <w:rFonts w:eastAsia="Calibri" w:cstheme="minorHAnsi"/>
              </w:rPr>
              <w:t>of human health and containment of contaminated</w:t>
            </w:r>
            <w:r w:rsidRPr="00A550FE">
              <w:rPr>
                <w:rFonts w:eastAsia="Calibri" w:cstheme="minorHAnsi"/>
                <w:spacing w:val="-6"/>
              </w:rPr>
              <w:t xml:space="preserve"> </w:t>
            </w:r>
            <w:r w:rsidRPr="00A550FE">
              <w:rPr>
                <w:rFonts w:eastAsia="Calibri" w:cstheme="minorHAnsi"/>
              </w:rPr>
              <w:t>materials</w:t>
            </w:r>
          </w:p>
          <w:p w:rsidR="00943FEB" w:rsidRPr="00A550FE" w:rsidRDefault="00943FEB" w:rsidP="00A550FE">
            <w:pPr>
              <w:widowControl w:val="0"/>
              <w:numPr>
                <w:ilvl w:val="0"/>
                <w:numId w:val="28"/>
              </w:numPr>
              <w:tabs>
                <w:tab w:val="left" w:pos="283"/>
              </w:tabs>
              <w:autoSpaceDE w:val="0"/>
              <w:autoSpaceDN w:val="0"/>
              <w:spacing w:before="7" w:line="240" w:lineRule="auto"/>
              <w:ind w:right="477"/>
              <w:rPr>
                <w:rFonts w:eastAsia="Calibri" w:cstheme="minorHAnsi"/>
              </w:rPr>
            </w:pPr>
            <w:r w:rsidRPr="00A550FE">
              <w:rPr>
                <w:rFonts w:eastAsia="Calibri" w:cstheme="minorHAnsi"/>
              </w:rPr>
              <w:t>Tools and equipment</w:t>
            </w:r>
            <w:r w:rsidRPr="00A550FE">
              <w:rPr>
                <w:rFonts w:eastAsia="Calibri" w:cstheme="minorHAnsi"/>
                <w:spacing w:val="-9"/>
              </w:rPr>
              <w:t xml:space="preserve"> </w:t>
            </w:r>
            <w:r w:rsidRPr="00A550FE">
              <w:rPr>
                <w:rFonts w:eastAsia="Calibri" w:cstheme="minorHAnsi"/>
              </w:rPr>
              <w:t>to minimize</w:t>
            </w:r>
            <w:r w:rsidRPr="00A550FE">
              <w:rPr>
                <w:rFonts w:eastAsia="Calibri" w:cstheme="minorHAnsi"/>
                <w:spacing w:val="-4"/>
              </w:rPr>
              <w:t xml:space="preserve"> </w:t>
            </w:r>
            <w:r w:rsidRPr="00A550FE">
              <w:rPr>
                <w:rFonts w:eastAsia="Calibri" w:cstheme="minorHAnsi"/>
              </w:rPr>
              <w:t>dust</w:t>
            </w:r>
          </w:p>
          <w:p w:rsidR="00943FEB" w:rsidRPr="00A550FE" w:rsidRDefault="00943FEB" w:rsidP="00A550FE">
            <w:pPr>
              <w:widowControl w:val="0"/>
              <w:numPr>
                <w:ilvl w:val="0"/>
                <w:numId w:val="28"/>
              </w:numPr>
              <w:tabs>
                <w:tab w:val="left" w:pos="283"/>
              </w:tabs>
              <w:autoSpaceDE w:val="0"/>
              <w:autoSpaceDN w:val="0"/>
              <w:spacing w:before="3" w:line="240" w:lineRule="auto"/>
              <w:ind w:right="245"/>
              <w:rPr>
                <w:rFonts w:eastAsia="Calibri" w:cstheme="minorHAnsi"/>
              </w:rPr>
            </w:pPr>
            <w:r w:rsidRPr="00A550FE">
              <w:rPr>
                <w:rFonts w:eastAsia="Calibri" w:cstheme="minorHAnsi"/>
              </w:rPr>
              <w:t>Demolition procedures to minimize dust,</w:t>
            </w:r>
            <w:r w:rsidRPr="00A550FE">
              <w:rPr>
                <w:rFonts w:eastAsia="Calibri" w:cstheme="minorHAnsi"/>
                <w:spacing w:val="-7"/>
              </w:rPr>
              <w:t xml:space="preserve"> </w:t>
            </w:r>
            <w:r w:rsidRPr="00A550FE">
              <w:rPr>
                <w:rFonts w:eastAsia="Calibri" w:cstheme="minorHAnsi"/>
              </w:rPr>
              <w:t>wastewater discharge, and other materials</w:t>
            </w:r>
          </w:p>
          <w:p w:rsidR="00943FEB" w:rsidRPr="00A550FE" w:rsidRDefault="00943FEB" w:rsidP="00A550FE">
            <w:pPr>
              <w:widowControl w:val="0"/>
              <w:numPr>
                <w:ilvl w:val="0"/>
                <w:numId w:val="28"/>
              </w:numPr>
              <w:tabs>
                <w:tab w:val="left" w:pos="283"/>
              </w:tabs>
              <w:autoSpaceDE w:val="0"/>
              <w:autoSpaceDN w:val="0"/>
              <w:spacing w:before="5" w:line="240" w:lineRule="auto"/>
              <w:ind w:right="317"/>
              <w:rPr>
                <w:rFonts w:eastAsia="Calibri" w:cstheme="minorHAnsi"/>
              </w:rPr>
            </w:pPr>
            <w:r w:rsidRPr="00A550FE">
              <w:rPr>
                <w:rFonts w:eastAsia="Calibri" w:cstheme="minorHAnsi"/>
              </w:rPr>
              <w:t>Site erosion and</w:t>
            </w:r>
            <w:r w:rsidRPr="00A550FE">
              <w:rPr>
                <w:rFonts w:eastAsia="Calibri" w:cstheme="minorHAnsi"/>
                <w:spacing w:val="-11"/>
              </w:rPr>
              <w:t xml:space="preserve"> </w:t>
            </w:r>
            <w:r w:rsidRPr="00A550FE">
              <w:rPr>
                <w:rFonts w:eastAsia="Calibri" w:cstheme="minorHAnsi"/>
              </w:rPr>
              <w:t>sediment controls</w:t>
            </w:r>
          </w:p>
          <w:p w:rsidR="00943FEB" w:rsidRPr="00A550FE" w:rsidRDefault="00943FEB" w:rsidP="00A550FE">
            <w:pPr>
              <w:widowControl w:val="0"/>
              <w:numPr>
                <w:ilvl w:val="0"/>
                <w:numId w:val="28"/>
              </w:numPr>
              <w:tabs>
                <w:tab w:val="left" w:pos="283"/>
              </w:tabs>
              <w:autoSpaceDE w:val="0"/>
              <w:autoSpaceDN w:val="0"/>
              <w:spacing w:before="2" w:line="240" w:lineRule="auto"/>
              <w:ind w:right="394"/>
              <w:rPr>
                <w:rFonts w:eastAsia="Calibri" w:cstheme="minorHAnsi"/>
              </w:rPr>
            </w:pPr>
            <w:r w:rsidRPr="00A550FE">
              <w:rPr>
                <w:rFonts w:eastAsia="Calibri" w:cstheme="minorHAnsi"/>
              </w:rPr>
              <w:t>Work area</w:t>
            </w:r>
            <w:r w:rsidRPr="00A550FE">
              <w:rPr>
                <w:rFonts w:eastAsia="Calibri" w:cstheme="minorHAnsi"/>
                <w:spacing w:val="-8"/>
              </w:rPr>
              <w:t xml:space="preserve"> </w:t>
            </w:r>
            <w:r w:rsidRPr="00A550FE">
              <w:rPr>
                <w:rFonts w:eastAsia="Calibri" w:cstheme="minorHAnsi"/>
              </w:rPr>
              <w:t>housekeeping and end of</w:t>
            </w:r>
            <w:r w:rsidRPr="00A550FE">
              <w:rPr>
                <w:rFonts w:eastAsia="Calibri" w:cstheme="minorHAnsi"/>
                <w:spacing w:val="-7"/>
              </w:rPr>
              <w:t xml:space="preserve"> </w:t>
            </w:r>
            <w:r w:rsidRPr="00A550FE">
              <w:rPr>
                <w:rFonts w:eastAsia="Calibri" w:cstheme="minorHAnsi"/>
              </w:rPr>
              <w:t>project</w:t>
            </w:r>
          </w:p>
          <w:p w:rsidR="00943FEB" w:rsidRPr="00A550FE" w:rsidRDefault="00943FEB" w:rsidP="00A550FE">
            <w:pPr>
              <w:widowControl w:val="0"/>
              <w:numPr>
                <w:ilvl w:val="0"/>
                <w:numId w:val="28"/>
              </w:numPr>
              <w:tabs>
                <w:tab w:val="left" w:pos="283"/>
              </w:tabs>
              <w:autoSpaceDE w:val="0"/>
              <w:autoSpaceDN w:val="0"/>
              <w:spacing w:line="240" w:lineRule="auto"/>
              <w:ind w:right="0"/>
              <w:rPr>
                <w:rFonts w:eastAsia="Calibri" w:cstheme="minorHAnsi"/>
              </w:rPr>
            </w:pPr>
            <w:r w:rsidRPr="00A550FE">
              <w:rPr>
                <w:rFonts w:eastAsia="Calibri" w:cstheme="minorHAnsi"/>
              </w:rPr>
              <w:t>Transport and</w:t>
            </w:r>
            <w:r w:rsidRPr="00A550FE">
              <w:rPr>
                <w:rFonts w:eastAsia="Calibri" w:cstheme="minorHAnsi"/>
                <w:spacing w:val="-8"/>
              </w:rPr>
              <w:t xml:space="preserve"> </w:t>
            </w:r>
            <w:r w:rsidRPr="00A550FE">
              <w:rPr>
                <w:rFonts w:eastAsia="Calibri" w:cstheme="minorHAnsi"/>
              </w:rPr>
              <w:t>disposal</w:t>
            </w:r>
          </w:p>
        </w:tc>
        <w:tc>
          <w:tcPr>
            <w:tcW w:w="1630" w:type="dxa"/>
          </w:tcPr>
          <w:p w:rsidR="00943FEB" w:rsidRPr="00A550FE" w:rsidRDefault="00943FEB" w:rsidP="00A550FE">
            <w:pPr>
              <w:widowControl w:val="0"/>
              <w:autoSpaceDE w:val="0"/>
              <w:autoSpaceDN w:val="0"/>
              <w:spacing w:line="240" w:lineRule="auto"/>
              <w:ind w:left="102" w:right="243"/>
              <w:rPr>
                <w:rFonts w:eastAsia="Calibri" w:cstheme="minorHAnsi"/>
              </w:rPr>
            </w:pPr>
            <w:r w:rsidRPr="00A550FE">
              <w:rPr>
                <w:rFonts w:eastAsia="Calibri" w:cstheme="minorHAnsi"/>
              </w:rPr>
              <w:t>Adapt San Francisco Estuary Project management practices for PCB caulk.</w:t>
            </w:r>
          </w:p>
        </w:tc>
      </w:tr>
      <w:tr w:rsidR="00943FEB" w:rsidRPr="00A550FE" w:rsidTr="00006475">
        <w:trPr>
          <w:trHeight w:val="420"/>
        </w:trPr>
        <w:tc>
          <w:tcPr>
            <w:tcW w:w="144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rPr>
              <w:t>I</w:t>
            </w:r>
            <w:r w:rsidRPr="00A550FE">
              <w:rPr>
                <w:rFonts w:eastAsia="Calibri" w:cstheme="minorHAnsi"/>
                <w:b/>
              </w:rPr>
              <w:t>tem</w:t>
            </w:r>
          </w:p>
        </w:tc>
        <w:tc>
          <w:tcPr>
            <w:tcW w:w="224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Action</w:t>
            </w:r>
          </w:p>
        </w:tc>
        <w:tc>
          <w:tcPr>
            <w:tcW w:w="91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Responsibility</w:t>
            </w:r>
          </w:p>
        </w:tc>
        <w:tc>
          <w:tcPr>
            <w:tcW w:w="315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Education and Outreach Work</w:t>
            </w:r>
          </w:p>
          <w:p w:rsidR="00943FEB" w:rsidRPr="00A550FE" w:rsidRDefault="00943FEB" w:rsidP="00A550FE">
            <w:pPr>
              <w:widowControl w:val="0"/>
              <w:autoSpaceDE w:val="0"/>
              <w:autoSpaceDN w:val="0"/>
              <w:spacing w:before="1" w:line="240" w:lineRule="auto"/>
              <w:ind w:left="100" w:right="0"/>
              <w:rPr>
                <w:rFonts w:eastAsia="Calibri" w:cstheme="minorHAnsi"/>
                <w:b/>
              </w:rPr>
            </w:pPr>
            <w:r w:rsidRPr="00A550FE">
              <w:rPr>
                <w:rFonts w:eastAsia="Calibri" w:cstheme="minorHAnsi"/>
                <w:b/>
              </w:rPr>
              <w:t>Group Role/Action</w:t>
            </w:r>
          </w:p>
        </w:tc>
        <w:tc>
          <w:tcPr>
            <w:tcW w:w="108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Timeframe</w:t>
            </w:r>
          </w:p>
        </w:tc>
        <w:tc>
          <w:tcPr>
            <w:tcW w:w="287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Key messages</w:t>
            </w:r>
          </w:p>
        </w:tc>
        <w:tc>
          <w:tcPr>
            <w:tcW w:w="163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Comments</w:t>
            </w:r>
          </w:p>
        </w:tc>
      </w:tr>
      <w:tr w:rsidR="00943FEB" w:rsidRPr="00A550FE" w:rsidTr="00006475">
        <w:trPr>
          <w:trHeight w:val="1900"/>
        </w:trPr>
        <w:tc>
          <w:tcPr>
            <w:tcW w:w="1440" w:type="dxa"/>
          </w:tcPr>
          <w:p w:rsidR="00943FEB" w:rsidRPr="00A550FE" w:rsidRDefault="00943FEB" w:rsidP="00A550FE">
            <w:pPr>
              <w:widowControl w:val="0"/>
              <w:autoSpaceDE w:val="0"/>
              <w:autoSpaceDN w:val="0"/>
              <w:spacing w:line="240" w:lineRule="auto"/>
              <w:ind w:left="321" w:right="320" w:firstLine="1"/>
              <w:jc w:val="center"/>
              <w:rPr>
                <w:rFonts w:eastAsia="Calibri" w:cstheme="minorHAnsi"/>
              </w:rPr>
            </w:pPr>
            <w:r w:rsidRPr="00A550FE">
              <w:rPr>
                <w:rFonts w:eastAsia="Calibri" w:cstheme="minorHAnsi"/>
              </w:rPr>
              <w:t>Future Activities: 6.2.1</w:t>
            </w:r>
          </w:p>
          <w:p w:rsidR="00943FEB" w:rsidRPr="00A550FE" w:rsidRDefault="00943FEB" w:rsidP="00A550FE">
            <w:pPr>
              <w:widowControl w:val="0"/>
              <w:autoSpaceDE w:val="0"/>
              <w:autoSpaceDN w:val="0"/>
              <w:spacing w:before="3" w:line="240" w:lineRule="auto"/>
              <w:ind w:left="194" w:right="194"/>
              <w:jc w:val="center"/>
              <w:rPr>
                <w:rFonts w:eastAsia="Calibri" w:cstheme="minorHAnsi"/>
              </w:rPr>
            </w:pPr>
            <w:r w:rsidRPr="00A550FE">
              <w:rPr>
                <w:rFonts w:eastAsia="Calibri" w:cstheme="minorHAnsi"/>
              </w:rPr>
              <w:t>Education of Septic Disposal</w:t>
            </w:r>
          </w:p>
        </w:tc>
        <w:tc>
          <w:tcPr>
            <w:tcW w:w="2240" w:type="dxa"/>
          </w:tcPr>
          <w:p w:rsidR="00943FEB" w:rsidRPr="00A550FE" w:rsidRDefault="00943FEB" w:rsidP="00A550FE">
            <w:pPr>
              <w:widowControl w:val="0"/>
              <w:numPr>
                <w:ilvl w:val="0"/>
                <w:numId w:val="27"/>
              </w:numPr>
              <w:tabs>
                <w:tab w:val="left" w:pos="463"/>
              </w:tabs>
              <w:autoSpaceDE w:val="0"/>
              <w:autoSpaceDN w:val="0"/>
              <w:spacing w:line="240" w:lineRule="auto"/>
              <w:ind w:right="113"/>
              <w:jc w:val="both"/>
              <w:rPr>
                <w:rFonts w:eastAsia="Calibri" w:cstheme="minorHAnsi"/>
              </w:rPr>
            </w:pPr>
            <w:r w:rsidRPr="00A550FE">
              <w:rPr>
                <w:rFonts w:eastAsia="Calibri" w:cstheme="minorHAnsi"/>
              </w:rPr>
              <w:t>Education on-site septic system owners over the aquifer recharge area</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100" w:right="125"/>
              <w:rPr>
                <w:rFonts w:eastAsia="Calibri" w:cstheme="minorHAnsi"/>
              </w:rPr>
            </w:pPr>
            <w:r w:rsidRPr="00A550FE">
              <w:rPr>
                <w:rFonts w:eastAsia="Calibri" w:cstheme="minorHAnsi"/>
              </w:rPr>
              <w:t>Inventory of existing education and outreach activities on PCBs/toxics in the Spokane River Basin</w:t>
            </w:r>
          </w:p>
          <w:p w:rsidR="00943FEB" w:rsidRPr="00A550FE" w:rsidRDefault="00943FEB" w:rsidP="00A550FE">
            <w:pPr>
              <w:widowControl w:val="0"/>
              <w:autoSpaceDE w:val="0"/>
              <w:autoSpaceDN w:val="0"/>
              <w:spacing w:line="240" w:lineRule="auto"/>
              <w:ind w:left="100" w:right="161"/>
              <w:rPr>
                <w:rFonts w:eastAsia="Calibri" w:cstheme="minorHAnsi"/>
              </w:rPr>
            </w:pPr>
            <w:r w:rsidRPr="00A550FE">
              <w:rPr>
                <w:rFonts w:eastAsia="Calibri" w:cstheme="minorHAnsi"/>
              </w:rPr>
              <w:t>-Provide a web based source for PCB outreach materials that permit holders can access and utilize as needed.</w:t>
            </w: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870" w:type="dxa"/>
          </w:tcPr>
          <w:p w:rsidR="00943FEB" w:rsidRPr="00A550FE" w:rsidRDefault="00943FEB" w:rsidP="00A550FE">
            <w:pPr>
              <w:widowControl w:val="0"/>
              <w:numPr>
                <w:ilvl w:val="0"/>
                <w:numId w:val="26"/>
              </w:numPr>
              <w:tabs>
                <w:tab w:val="left" w:pos="462"/>
                <w:tab w:val="left" w:pos="463"/>
              </w:tabs>
              <w:autoSpaceDE w:val="0"/>
              <w:autoSpaceDN w:val="0"/>
              <w:spacing w:line="240" w:lineRule="auto"/>
              <w:ind w:right="350"/>
              <w:rPr>
                <w:rFonts w:eastAsia="Calibri" w:cstheme="minorHAnsi"/>
              </w:rPr>
            </w:pPr>
            <w:r w:rsidRPr="00A550FE">
              <w:rPr>
                <w:rFonts w:eastAsia="Calibri" w:cstheme="minorHAnsi"/>
              </w:rPr>
              <w:t>Proper disposal of wastes (not “down the</w:t>
            </w:r>
            <w:r w:rsidRPr="00A550FE">
              <w:rPr>
                <w:rFonts w:eastAsia="Calibri" w:cstheme="minorHAnsi"/>
                <w:spacing w:val="-1"/>
              </w:rPr>
              <w:t xml:space="preserve"> </w:t>
            </w:r>
            <w:r w:rsidRPr="00A550FE">
              <w:rPr>
                <w:rFonts w:eastAsia="Calibri" w:cstheme="minorHAnsi"/>
              </w:rPr>
              <w:t>drain”)</w:t>
            </w:r>
          </w:p>
          <w:p w:rsidR="00943FEB" w:rsidRPr="00A550FE" w:rsidRDefault="00943FEB" w:rsidP="00A550FE">
            <w:pPr>
              <w:widowControl w:val="0"/>
              <w:numPr>
                <w:ilvl w:val="0"/>
                <w:numId w:val="26"/>
              </w:numPr>
              <w:tabs>
                <w:tab w:val="left" w:pos="463"/>
              </w:tabs>
              <w:autoSpaceDE w:val="0"/>
              <w:autoSpaceDN w:val="0"/>
              <w:spacing w:before="3" w:line="240" w:lineRule="auto"/>
              <w:ind w:right="279"/>
              <w:jc w:val="both"/>
              <w:rPr>
                <w:rFonts w:eastAsia="Calibri" w:cstheme="minorHAnsi"/>
              </w:rPr>
            </w:pPr>
            <w:r w:rsidRPr="00A550FE">
              <w:rPr>
                <w:rFonts w:eastAsia="Calibri" w:cstheme="minorHAnsi"/>
              </w:rPr>
              <w:t>Environmental and function benefits of tank</w:t>
            </w:r>
            <w:r w:rsidRPr="00A550FE">
              <w:rPr>
                <w:rFonts w:eastAsia="Calibri" w:cstheme="minorHAnsi"/>
                <w:spacing w:val="-1"/>
              </w:rPr>
              <w:t xml:space="preserve"> </w:t>
            </w:r>
            <w:r w:rsidRPr="00A550FE">
              <w:rPr>
                <w:rFonts w:eastAsia="Calibri" w:cstheme="minorHAnsi"/>
              </w:rPr>
              <w:t>pumping</w:t>
            </w:r>
          </w:p>
        </w:tc>
        <w:tc>
          <w:tcPr>
            <w:tcW w:w="163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1620"/>
        </w:trPr>
        <w:tc>
          <w:tcPr>
            <w:tcW w:w="1440" w:type="dxa"/>
          </w:tcPr>
          <w:p w:rsidR="00943FEB" w:rsidRPr="00A550FE" w:rsidRDefault="00943FEB" w:rsidP="00A550FE">
            <w:pPr>
              <w:widowControl w:val="0"/>
              <w:autoSpaceDE w:val="0"/>
              <w:autoSpaceDN w:val="0"/>
              <w:spacing w:line="240" w:lineRule="auto"/>
              <w:ind w:left="321" w:right="305" w:firstLine="141"/>
              <w:rPr>
                <w:rFonts w:eastAsia="Calibri" w:cstheme="minorHAnsi"/>
              </w:rPr>
            </w:pPr>
            <w:r w:rsidRPr="00A550FE">
              <w:rPr>
                <w:rFonts w:eastAsia="Calibri" w:cstheme="minorHAnsi"/>
              </w:rPr>
              <w:t>Future Activities:</w:t>
            </w:r>
          </w:p>
          <w:p w:rsidR="00943FEB" w:rsidRPr="00A550FE" w:rsidRDefault="00943FEB" w:rsidP="00A550FE">
            <w:pPr>
              <w:widowControl w:val="0"/>
              <w:autoSpaceDE w:val="0"/>
              <w:autoSpaceDN w:val="0"/>
              <w:spacing w:before="3" w:line="240" w:lineRule="auto"/>
              <w:ind w:left="225" w:right="194" w:hanging="17"/>
              <w:rPr>
                <w:rFonts w:eastAsia="Calibri" w:cstheme="minorHAnsi"/>
              </w:rPr>
            </w:pPr>
            <w:r w:rsidRPr="00A550FE">
              <w:rPr>
                <w:rFonts w:eastAsia="Calibri" w:cstheme="minorHAnsi"/>
              </w:rPr>
              <w:t>6.2.2 Survey Schools and</w:t>
            </w:r>
          </w:p>
          <w:p w:rsidR="00943FEB" w:rsidRPr="00A550FE" w:rsidRDefault="00943FEB" w:rsidP="00A550FE">
            <w:pPr>
              <w:widowControl w:val="0"/>
              <w:autoSpaceDE w:val="0"/>
              <w:autoSpaceDN w:val="0"/>
              <w:spacing w:line="240" w:lineRule="auto"/>
              <w:ind w:left="354" w:right="337" w:firstLine="134"/>
              <w:rPr>
                <w:rFonts w:eastAsia="Calibri" w:cstheme="minorHAnsi"/>
              </w:rPr>
            </w:pPr>
            <w:r w:rsidRPr="00A550FE">
              <w:rPr>
                <w:rFonts w:eastAsia="Calibri" w:cstheme="minorHAnsi"/>
              </w:rPr>
              <w:t>Public Buildings</w:t>
            </w:r>
          </w:p>
        </w:tc>
        <w:tc>
          <w:tcPr>
            <w:tcW w:w="2240" w:type="dxa"/>
          </w:tcPr>
          <w:p w:rsidR="00943FEB" w:rsidRPr="00A550FE" w:rsidRDefault="00943FEB" w:rsidP="00A550FE">
            <w:pPr>
              <w:widowControl w:val="0"/>
              <w:numPr>
                <w:ilvl w:val="0"/>
                <w:numId w:val="25"/>
              </w:numPr>
              <w:tabs>
                <w:tab w:val="left" w:pos="462"/>
                <w:tab w:val="left" w:pos="463"/>
              </w:tabs>
              <w:autoSpaceDE w:val="0"/>
              <w:autoSpaceDN w:val="0"/>
              <w:spacing w:line="240" w:lineRule="auto"/>
              <w:ind w:right="554"/>
              <w:rPr>
                <w:rFonts w:eastAsia="Calibri" w:cstheme="minorHAnsi"/>
              </w:rPr>
            </w:pPr>
            <w:r w:rsidRPr="00A550FE">
              <w:rPr>
                <w:rFonts w:eastAsia="Calibri" w:cstheme="minorHAnsi"/>
              </w:rPr>
              <w:t>Survey schools and public</w:t>
            </w:r>
            <w:r w:rsidRPr="00A550FE">
              <w:rPr>
                <w:rFonts w:eastAsia="Calibri" w:cstheme="minorHAnsi"/>
                <w:spacing w:val="-6"/>
              </w:rPr>
              <w:t xml:space="preserve"> </w:t>
            </w:r>
            <w:r w:rsidRPr="00A550FE">
              <w:rPr>
                <w:rFonts w:eastAsia="Calibri" w:cstheme="minorHAnsi"/>
              </w:rPr>
              <w:t>buildings</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870" w:type="dxa"/>
          </w:tcPr>
          <w:p w:rsidR="00943FEB" w:rsidRPr="00A550FE" w:rsidRDefault="00943FEB" w:rsidP="00A550FE">
            <w:pPr>
              <w:widowControl w:val="0"/>
              <w:numPr>
                <w:ilvl w:val="0"/>
                <w:numId w:val="24"/>
              </w:numPr>
              <w:tabs>
                <w:tab w:val="left" w:pos="462"/>
                <w:tab w:val="left" w:pos="463"/>
              </w:tabs>
              <w:autoSpaceDE w:val="0"/>
              <w:autoSpaceDN w:val="0"/>
              <w:spacing w:line="240" w:lineRule="auto"/>
              <w:ind w:right="141"/>
              <w:rPr>
                <w:rFonts w:eastAsia="Calibri" w:cstheme="minorHAnsi"/>
              </w:rPr>
            </w:pPr>
            <w:r w:rsidRPr="00A550FE">
              <w:rPr>
                <w:rFonts w:eastAsia="Calibri" w:cstheme="minorHAnsi"/>
              </w:rPr>
              <w:t>Identification of PCB- containing</w:t>
            </w:r>
            <w:r w:rsidRPr="00A550FE">
              <w:rPr>
                <w:rFonts w:eastAsia="Calibri" w:cstheme="minorHAnsi"/>
                <w:spacing w:val="-3"/>
              </w:rPr>
              <w:t xml:space="preserve"> </w:t>
            </w:r>
            <w:r w:rsidRPr="00A550FE">
              <w:rPr>
                <w:rFonts w:eastAsia="Calibri" w:cstheme="minorHAnsi"/>
              </w:rPr>
              <w:t>materials</w:t>
            </w:r>
          </w:p>
          <w:p w:rsidR="00943FEB" w:rsidRPr="00A550FE" w:rsidRDefault="00943FEB" w:rsidP="00A550FE">
            <w:pPr>
              <w:widowControl w:val="0"/>
              <w:numPr>
                <w:ilvl w:val="0"/>
                <w:numId w:val="24"/>
              </w:numPr>
              <w:tabs>
                <w:tab w:val="left" w:pos="462"/>
                <w:tab w:val="left" w:pos="463"/>
              </w:tabs>
              <w:autoSpaceDE w:val="0"/>
              <w:autoSpaceDN w:val="0"/>
              <w:spacing w:before="3" w:line="240" w:lineRule="auto"/>
              <w:ind w:right="370"/>
              <w:rPr>
                <w:rFonts w:eastAsia="Calibri" w:cstheme="minorHAnsi"/>
              </w:rPr>
            </w:pPr>
            <w:r w:rsidRPr="00A550FE">
              <w:rPr>
                <w:rFonts w:eastAsia="Calibri" w:cstheme="minorHAnsi"/>
              </w:rPr>
              <w:t>Program to encapsulate or dispose of PCB materials</w:t>
            </w:r>
            <w:r w:rsidRPr="00A550FE">
              <w:rPr>
                <w:rFonts w:eastAsia="Calibri" w:cstheme="minorHAnsi"/>
                <w:spacing w:val="-4"/>
              </w:rPr>
              <w:t xml:space="preserve"> </w:t>
            </w:r>
            <w:r w:rsidRPr="00A550FE">
              <w:rPr>
                <w:rFonts w:eastAsia="Calibri" w:cstheme="minorHAnsi"/>
              </w:rPr>
              <w:t>property</w:t>
            </w:r>
          </w:p>
        </w:tc>
        <w:tc>
          <w:tcPr>
            <w:tcW w:w="163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1600"/>
        </w:trPr>
        <w:tc>
          <w:tcPr>
            <w:tcW w:w="1440" w:type="dxa"/>
          </w:tcPr>
          <w:p w:rsidR="00943FEB" w:rsidRPr="00A550FE" w:rsidRDefault="00943FEB" w:rsidP="00A550FE">
            <w:pPr>
              <w:widowControl w:val="0"/>
              <w:autoSpaceDE w:val="0"/>
              <w:autoSpaceDN w:val="0"/>
              <w:spacing w:line="240" w:lineRule="auto"/>
              <w:ind w:left="321" w:right="320" w:firstLine="1"/>
              <w:jc w:val="center"/>
              <w:rPr>
                <w:rFonts w:eastAsia="Calibri" w:cstheme="minorHAnsi"/>
              </w:rPr>
            </w:pPr>
            <w:r w:rsidRPr="00A550FE">
              <w:rPr>
                <w:rFonts w:eastAsia="Calibri" w:cstheme="minorHAnsi"/>
              </w:rPr>
              <w:t>Future Activities: 6.2.4</w:t>
            </w:r>
          </w:p>
          <w:p w:rsidR="00943FEB" w:rsidRPr="00A550FE" w:rsidRDefault="00943FEB" w:rsidP="00A550FE">
            <w:pPr>
              <w:widowControl w:val="0"/>
              <w:autoSpaceDE w:val="0"/>
              <w:autoSpaceDN w:val="0"/>
              <w:spacing w:line="240" w:lineRule="auto"/>
              <w:ind w:left="211" w:right="211" w:hanging="1"/>
              <w:jc w:val="center"/>
              <w:rPr>
                <w:rFonts w:eastAsia="Calibri" w:cstheme="minorHAnsi"/>
              </w:rPr>
            </w:pPr>
            <w:r w:rsidRPr="00A550FE">
              <w:rPr>
                <w:rFonts w:eastAsia="Calibri" w:cstheme="minorHAnsi"/>
              </w:rPr>
              <w:t>Emerging Wastewater</w:t>
            </w:r>
          </w:p>
          <w:p w:rsidR="00943FEB" w:rsidRPr="00A550FE" w:rsidRDefault="00943FEB" w:rsidP="00A550FE">
            <w:pPr>
              <w:widowControl w:val="0"/>
              <w:autoSpaceDE w:val="0"/>
              <w:autoSpaceDN w:val="0"/>
              <w:spacing w:line="240" w:lineRule="auto"/>
              <w:ind w:left="193" w:right="194"/>
              <w:jc w:val="center"/>
              <w:rPr>
                <w:rFonts w:eastAsia="Calibri" w:cstheme="minorHAnsi"/>
              </w:rPr>
            </w:pPr>
            <w:r w:rsidRPr="00A550FE">
              <w:rPr>
                <w:rFonts w:eastAsia="Calibri" w:cstheme="minorHAnsi"/>
              </w:rPr>
              <w:t>Technology</w:t>
            </w:r>
          </w:p>
        </w:tc>
        <w:tc>
          <w:tcPr>
            <w:tcW w:w="2240" w:type="dxa"/>
          </w:tcPr>
          <w:p w:rsidR="00943FEB" w:rsidRPr="00A550FE" w:rsidRDefault="00943FEB" w:rsidP="00A550FE">
            <w:pPr>
              <w:widowControl w:val="0"/>
              <w:numPr>
                <w:ilvl w:val="0"/>
                <w:numId w:val="23"/>
              </w:numPr>
              <w:tabs>
                <w:tab w:val="left" w:pos="462"/>
                <w:tab w:val="left" w:pos="463"/>
              </w:tabs>
              <w:autoSpaceDE w:val="0"/>
              <w:autoSpaceDN w:val="0"/>
              <w:spacing w:line="240" w:lineRule="auto"/>
              <w:ind w:right="98"/>
              <w:rPr>
                <w:rFonts w:eastAsia="Calibri" w:cstheme="minorHAnsi"/>
              </w:rPr>
            </w:pPr>
            <w:r w:rsidRPr="00A550FE">
              <w:rPr>
                <w:rFonts w:eastAsia="Calibri" w:cstheme="minorHAnsi"/>
              </w:rPr>
              <w:t xml:space="preserve">Reach out regularly to </w:t>
            </w:r>
            <w:r w:rsidRPr="00A550FE">
              <w:rPr>
                <w:rFonts w:eastAsia="Calibri" w:cstheme="minorHAnsi"/>
                <w:spacing w:val="-1"/>
              </w:rPr>
              <w:t xml:space="preserve">researchers/contractors </w:t>
            </w:r>
            <w:r w:rsidRPr="00A550FE">
              <w:rPr>
                <w:rFonts w:eastAsia="Calibri" w:cstheme="minorHAnsi"/>
              </w:rPr>
              <w:t>in the field of wastewater</w:t>
            </w:r>
            <w:r w:rsidRPr="00A550FE">
              <w:rPr>
                <w:rFonts w:eastAsia="Calibri" w:cstheme="minorHAnsi"/>
                <w:spacing w:val="-2"/>
              </w:rPr>
              <w:t xml:space="preserve"> </w:t>
            </w:r>
            <w:r w:rsidRPr="00A550FE">
              <w:rPr>
                <w:rFonts w:eastAsia="Calibri" w:cstheme="minorHAnsi"/>
              </w:rPr>
              <w:t>treatment</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870" w:type="dxa"/>
          </w:tcPr>
          <w:p w:rsidR="00943FEB" w:rsidRPr="00A550FE" w:rsidRDefault="00943FEB" w:rsidP="00A550FE">
            <w:pPr>
              <w:widowControl w:val="0"/>
              <w:numPr>
                <w:ilvl w:val="0"/>
                <w:numId w:val="22"/>
              </w:numPr>
              <w:tabs>
                <w:tab w:val="left" w:pos="462"/>
                <w:tab w:val="left" w:pos="463"/>
              </w:tabs>
              <w:autoSpaceDE w:val="0"/>
              <w:autoSpaceDN w:val="0"/>
              <w:spacing w:line="240" w:lineRule="auto"/>
              <w:ind w:right="185"/>
              <w:rPr>
                <w:rFonts w:eastAsia="Calibri" w:cstheme="minorHAnsi"/>
              </w:rPr>
            </w:pPr>
            <w:r w:rsidRPr="00A550FE">
              <w:rPr>
                <w:rFonts w:eastAsia="Calibri" w:cstheme="minorHAnsi"/>
              </w:rPr>
              <w:t>Potential new technologies for PCB removal</w:t>
            </w:r>
          </w:p>
        </w:tc>
        <w:tc>
          <w:tcPr>
            <w:tcW w:w="163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1080"/>
        </w:trPr>
        <w:tc>
          <w:tcPr>
            <w:tcW w:w="1440" w:type="dxa"/>
          </w:tcPr>
          <w:p w:rsidR="00943FEB" w:rsidRPr="00A550FE" w:rsidRDefault="00943FEB" w:rsidP="00A550FE">
            <w:pPr>
              <w:widowControl w:val="0"/>
              <w:autoSpaceDE w:val="0"/>
              <w:autoSpaceDN w:val="0"/>
              <w:spacing w:line="240" w:lineRule="auto"/>
              <w:ind w:left="102" w:right="524"/>
              <w:rPr>
                <w:rFonts w:eastAsia="Calibri" w:cstheme="minorHAnsi"/>
              </w:rPr>
            </w:pPr>
            <w:r w:rsidRPr="00A550FE">
              <w:rPr>
                <w:rFonts w:eastAsia="Calibri" w:cstheme="minorHAnsi"/>
              </w:rPr>
              <w:t>Future Activities:</w:t>
            </w:r>
          </w:p>
          <w:p w:rsidR="00943FEB" w:rsidRPr="00A550FE" w:rsidRDefault="00943FEB" w:rsidP="00A550FE">
            <w:pPr>
              <w:widowControl w:val="0"/>
              <w:autoSpaceDE w:val="0"/>
              <w:autoSpaceDN w:val="0"/>
              <w:spacing w:before="2" w:line="240" w:lineRule="auto"/>
              <w:ind w:left="102" w:right="300"/>
              <w:rPr>
                <w:rFonts w:eastAsia="Calibri" w:cstheme="minorHAnsi"/>
              </w:rPr>
            </w:pPr>
            <w:r w:rsidRPr="00A550FE">
              <w:rPr>
                <w:rFonts w:eastAsia="Calibri" w:cstheme="minorHAnsi"/>
              </w:rPr>
              <w:t>6.2.5 Survey of Local</w:t>
            </w:r>
          </w:p>
        </w:tc>
        <w:tc>
          <w:tcPr>
            <w:tcW w:w="2240" w:type="dxa"/>
          </w:tcPr>
          <w:p w:rsidR="00943FEB" w:rsidRPr="00A550FE" w:rsidRDefault="00943FEB" w:rsidP="00A550FE">
            <w:pPr>
              <w:widowControl w:val="0"/>
              <w:numPr>
                <w:ilvl w:val="0"/>
                <w:numId w:val="21"/>
              </w:numPr>
              <w:tabs>
                <w:tab w:val="left" w:pos="462"/>
                <w:tab w:val="left" w:pos="463"/>
              </w:tabs>
              <w:autoSpaceDE w:val="0"/>
              <w:autoSpaceDN w:val="0"/>
              <w:spacing w:before="3" w:line="240" w:lineRule="auto"/>
              <w:ind w:right="173"/>
              <w:rPr>
                <w:rFonts w:eastAsia="Calibri" w:cstheme="minorHAnsi"/>
              </w:rPr>
            </w:pPr>
            <w:r w:rsidRPr="00A550FE">
              <w:rPr>
                <w:rFonts w:eastAsia="Calibri" w:cstheme="minorHAnsi"/>
              </w:rPr>
              <w:t>Conduct survey of local utilities and other owners of electrical equipment</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870" w:type="dxa"/>
          </w:tcPr>
          <w:p w:rsidR="00943FEB" w:rsidRPr="00A550FE" w:rsidRDefault="00943FEB" w:rsidP="00A550FE">
            <w:pPr>
              <w:widowControl w:val="0"/>
              <w:numPr>
                <w:ilvl w:val="0"/>
                <w:numId w:val="20"/>
              </w:numPr>
              <w:tabs>
                <w:tab w:val="left" w:pos="462"/>
                <w:tab w:val="left" w:pos="463"/>
              </w:tabs>
              <w:autoSpaceDE w:val="0"/>
              <w:autoSpaceDN w:val="0"/>
              <w:spacing w:before="3" w:line="240" w:lineRule="auto"/>
              <w:ind w:right="208"/>
              <w:rPr>
                <w:rFonts w:eastAsia="Calibri" w:cstheme="minorHAnsi"/>
              </w:rPr>
            </w:pPr>
            <w:r w:rsidRPr="00A550FE">
              <w:rPr>
                <w:rFonts w:eastAsia="Calibri" w:cstheme="minorHAnsi"/>
              </w:rPr>
              <w:t>Identify PCB- containing equipment (nominal 1 ppm) that,</w:t>
            </w:r>
            <w:r w:rsidRPr="00A550FE">
              <w:rPr>
                <w:rFonts w:eastAsia="Calibri" w:cstheme="minorHAnsi"/>
                <w:spacing w:val="-5"/>
              </w:rPr>
              <w:t xml:space="preserve"> </w:t>
            </w:r>
            <w:r w:rsidRPr="00A550FE">
              <w:rPr>
                <w:rFonts w:eastAsia="Calibri" w:cstheme="minorHAnsi"/>
              </w:rPr>
              <w:t>if</w:t>
            </w:r>
          </w:p>
        </w:tc>
        <w:tc>
          <w:tcPr>
            <w:tcW w:w="163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1080"/>
        </w:trPr>
        <w:tc>
          <w:tcPr>
            <w:tcW w:w="1440" w:type="dxa"/>
          </w:tcPr>
          <w:p w:rsidR="00943FEB" w:rsidRPr="00A550FE" w:rsidRDefault="00943FEB" w:rsidP="00A550FE">
            <w:pPr>
              <w:widowControl w:val="0"/>
              <w:autoSpaceDE w:val="0"/>
              <w:autoSpaceDN w:val="0"/>
              <w:spacing w:line="240" w:lineRule="auto"/>
              <w:ind w:left="102" w:right="418"/>
              <w:rPr>
                <w:rFonts w:eastAsia="Calibri" w:cstheme="minorHAnsi"/>
              </w:rPr>
            </w:pPr>
            <w:r w:rsidRPr="00A550FE">
              <w:rPr>
                <w:rFonts w:eastAsia="Calibri" w:cstheme="minorHAnsi"/>
              </w:rPr>
              <w:t>Electrical Equipment</w:t>
            </w:r>
          </w:p>
        </w:tc>
        <w:tc>
          <w:tcPr>
            <w:tcW w:w="224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870" w:type="dxa"/>
          </w:tcPr>
          <w:p w:rsidR="00943FEB" w:rsidRPr="00A550FE" w:rsidRDefault="00943FEB" w:rsidP="00A550FE">
            <w:pPr>
              <w:widowControl w:val="0"/>
              <w:autoSpaceDE w:val="0"/>
              <w:autoSpaceDN w:val="0"/>
              <w:spacing w:line="240" w:lineRule="auto"/>
              <w:ind w:left="462" w:right="208"/>
              <w:rPr>
                <w:rFonts w:eastAsia="Calibri" w:cstheme="minorHAnsi"/>
              </w:rPr>
            </w:pPr>
            <w:r w:rsidRPr="00A550FE">
              <w:rPr>
                <w:rFonts w:eastAsia="Calibri" w:cstheme="minorHAnsi"/>
              </w:rPr>
              <w:t>spilled, has a reasonable pathway to the river</w:t>
            </w:r>
          </w:p>
          <w:p w:rsidR="00943FEB" w:rsidRPr="00A550FE" w:rsidRDefault="00943FEB" w:rsidP="00A550FE">
            <w:pPr>
              <w:widowControl w:val="0"/>
              <w:numPr>
                <w:ilvl w:val="0"/>
                <w:numId w:val="19"/>
              </w:numPr>
              <w:tabs>
                <w:tab w:val="left" w:pos="462"/>
                <w:tab w:val="left" w:pos="463"/>
              </w:tabs>
              <w:autoSpaceDE w:val="0"/>
              <w:autoSpaceDN w:val="0"/>
              <w:spacing w:before="4" w:line="240" w:lineRule="auto"/>
              <w:ind w:right="0"/>
              <w:rPr>
                <w:rFonts w:eastAsia="Calibri" w:cstheme="minorHAnsi"/>
              </w:rPr>
            </w:pPr>
            <w:r w:rsidRPr="00A550FE">
              <w:rPr>
                <w:rFonts w:eastAsia="Calibri" w:cstheme="minorHAnsi"/>
              </w:rPr>
              <w:t>Target for</w:t>
            </w:r>
            <w:r w:rsidRPr="00A550FE">
              <w:rPr>
                <w:rFonts w:eastAsia="Calibri" w:cstheme="minorHAnsi"/>
                <w:spacing w:val="-7"/>
              </w:rPr>
              <w:t xml:space="preserve"> </w:t>
            </w:r>
            <w:r w:rsidRPr="00A550FE">
              <w:rPr>
                <w:rFonts w:eastAsia="Calibri" w:cstheme="minorHAnsi"/>
              </w:rPr>
              <w:t>removal</w:t>
            </w:r>
          </w:p>
        </w:tc>
        <w:tc>
          <w:tcPr>
            <w:tcW w:w="163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006475">
        <w:trPr>
          <w:trHeight w:val="1080"/>
        </w:trPr>
        <w:tc>
          <w:tcPr>
            <w:tcW w:w="1440" w:type="dxa"/>
          </w:tcPr>
          <w:p w:rsidR="00943FEB" w:rsidRPr="00A550FE" w:rsidRDefault="00943FEB" w:rsidP="00A550FE">
            <w:pPr>
              <w:widowControl w:val="0"/>
              <w:autoSpaceDE w:val="0"/>
              <w:autoSpaceDN w:val="0"/>
              <w:spacing w:line="240" w:lineRule="auto"/>
              <w:ind w:left="102" w:right="524"/>
              <w:rPr>
                <w:rFonts w:eastAsia="Calibri" w:cstheme="minorHAnsi"/>
              </w:rPr>
            </w:pPr>
            <w:r w:rsidRPr="00A550FE">
              <w:rPr>
                <w:rFonts w:eastAsia="Calibri" w:cstheme="minorHAnsi"/>
              </w:rPr>
              <w:t>Future Activities:</w:t>
            </w:r>
          </w:p>
          <w:p w:rsidR="00943FEB" w:rsidRPr="00A550FE" w:rsidRDefault="00943FEB" w:rsidP="00A550FE">
            <w:pPr>
              <w:widowControl w:val="0"/>
              <w:autoSpaceDE w:val="0"/>
              <w:autoSpaceDN w:val="0"/>
              <w:spacing w:before="3" w:line="240" w:lineRule="auto"/>
              <w:ind w:left="102" w:right="205"/>
              <w:rPr>
                <w:rFonts w:eastAsia="Calibri" w:cstheme="minorHAnsi"/>
              </w:rPr>
            </w:pPr>
            <w:r w:rsidRPr="00A550FE">
              <w:rPr>
                <w:rFonts w:eastAsia="Calibri" w:cstheme="minorHAnsi"/>
              </w:rPr>
              <w:t>6.2.10 PCB Identification during inspections</w:t>
            </w:r>
          </w:p>
        </w:tc>
        <w:tc>
          <w:tcPr>
            <w:tcW w:w="2240" w:type="dxa"/>
          </w:tcPr>
          <w:p w:rsidR="00943FEB" w:rsidRPr="00A550FE" w:rsidRDefault="00943FEB" w:rsidP="00A550FE">
            <w:pPr>
              <w:widowControl w:val="0"/>
              <w:numPr>
                <w:ilvl w:val="0"/>
                <w:numId w:val="18"/>
              </w:numPr>
              <w:tabs>
                <w:tab w:val="left" w:pos="462"/>
                <w:tab w:val="left" w:pos="463"/>
              </w:tabs>
              <w:autoSpaceDE w:val="0"/>
              <w:autoSpaceDN w:val="0"/>
              <w:spacing w:line="240" w:lineRule="auto"/>
              <w:ind w:right="301"/>
              <w:rPr>
                <w:rFonts w:eastAsia="Calibri" w:cstheme="minorHAnsi"/>
              </w:rPr>
            </w:pPr>
            <w:r w:rsidRPr="00A550FE">
              <w:rPr>
                <w:rFonts w:eastAsia="Calibri" w:cstheme="minorHAnsi"/>
              </w:rPr>
              <w:t>Train inspectors to identify materials and what to do</w:t>
            </w:r>
            <w:r w:rsidRPr="00A550FE">
              <w:rPr>
                <w:rFonts w:eastAsia="Calibri" w:cstheme="minorHAnsi"/>
                <w:spacing w:val="-3"/>
              </w:rPr>
              <w:t xml:space="preserve"> </w:t>
            </w:r>
            <w:r w:rsidRPr="00A550FE">
              <w:rPr>
                <w:rFonts w:eastAsia="Calibri" w:cstheme="minorHAnsi"/>
              </w:rPr>
              <w:t>next</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870" w:type="dxa"/>
          </w:tcPr>
          <w:p w:rsidR="00943FEB" w:rsidRPr="00A550FE" w:rsidRDefault="00943FEB" w:rsidP="00A550FE">
            <w:pPr>
              <w:widowControl w:val="0"/>
              <w:numPr>
                <w:ilvl w:val="0"/>
                <w:numId w:val="17"/>
              </w:numPr>
              <w:tabs>
                <w:tab w:val="left" w:pos="462"/>
                <w:tab w:val="left" w:pos="463"/>
              </w:tabs>
              <w:autoSpaceDE w:val="0"/>
              <w:autoSpaceDN w:val="0"/>
              <w:spacing w:line="240" w:lineRule="auto"/>
              <w:ind w:right="216"/>
              <w:rPr>
                <w:rFonts w:eastAsia="Calibri" w:cstheme="minorHAnsi"/>
              </w:rPr>
            </w:pPr>
            <w:r w:rsidRPr="00A550FE">
              <w:rPr>
                <w:rFonts w:eastAsia="Calibri" w:cstheme="minorHAnsi"/>
              </w:rPr>
              <w:t>Identify PCB- containing</w:t>
            </w:r>
            <w:r w:rsidRPr="00A550FE">
              <w:rPr>
                <w:rFonts w:eastAsia="Calibri" w:cstheme="minorHAnsi"/>
                <w:spacing w:val="-3"/>
              </w:rPr>
              <w:t xml:space="preserve"> </w:t>
            </w:r>
            <w:r w:rsidRPr="00A550FE">
              <w:rPr>
                <w:rFonts w:eastAsia="Calibri" w:cstheme="minorHAnsi"/>
              </w:rPr>
              <w:t>materials as part of other regular</w:t>
            </w:r>
            <w:r w:rsidRPr="00A550FE">
              <w:rPr>
                <w:rFonts w:eastAsia="Calibri" w:cstheme="minorHAnsi"/>
                <w:spacing w:val="-2"/>
              </w:rPr>
              <w:t xml:space="preserve"> </w:t>
            </w:r>
            <w:r w:rsidRPr="00A550FE">
              <w:rPr>
                <w:rFonts w:eastAsia="Calibri" w:cstheme="minorHAnsi"/>
              </w:rPr>
              <w:t>inspections</w:t>
            </w:r>
          </w:p>
          <w:p w:rsidR="00943FEB" w:rsidRPr="00A550FE" w:rsidRDefault="00943FEB" w:rsidP="00A550FE">
            <w:pPr>
              <w:widowControl w:val="0"/>
              <w:numPr>
                <w:ilvl w:val="0"/>
                <w:numId w:val="17"/>
              </w:numPr>
              <w:tabs>
                <w:tab w:val="left" w:pos="462"/>
                <w:tab w:val="left" w:pos="463"/>
              </w:tabs>
              <w:autoSpaceDE w:val="0"/>
              <w:autoSpaceDN w:val="0"/>
              <w:spacing w:before="3" w:line="240" w:lineRule="auto"/>
              <w:ind w:right="216"/>
              <w:rPr>
                <w:rFonts w:eastAsia="Calibri" w:cstheme="minorHAnsi"/>
              </w:rPr>
            </w:pPr>
            <w:r w:rsidRPr="00A550FE">
              <w:rPr>
                <w:rFonts w:eastAsia="Calibri" w:cstheme="minorHAnsi"/>
              </w:rPr>
              <w:t>Management practices for PCB- containing</w:t>
            </w:r>
            <w:r w:rsidRPr="00A550FE">
              <w:rPr>
                <w:rFonts w:eastAsia="Calibri" w:cstheme="minorHAnsi"/>
                <w:spacing w:val="-3"/>
              </w:rPr>
              <w:t xml:space="preserve"> </w:t>
            </w:r>
            <w:r w:rsidRPr="00A550FE">
              <w:rPr>
                <w:rFonts w:eastAsia="Calibri" w:cstheme="minorHAnsi"/>
              </w:rPr>
              <w:t>materials</w:t>
            </w:r>
          </w:p>
        </w:tc>
        <w:tc>
          <w:tcPr>
            <w:tcW w:w="1630" w:type="dxa"/>
          </w:tcPr>
          <w:p w:rsidR="00943FEB" w:rsidRPr="00A550FE" w:rsidRDefault="00943FEB" w:rsidP="00A550FE">
            <w:pPr>
              <w:widowControl w:val="0"/>
              <w:autoSpaceDE w:val="0"/>
              <w:autoSpaceDN w:val="0"/>
              <w:spacing w:line="240" w:lineRule="auto"/>
              <w:ind w:left="0" w:right="0"/>
              <w:rPr>
                <w:rFonts w:eastAsia="Calibri" w:cstheme="minorHAnsi"/>
              </w:rPr>
            </w:pPr>
          </w:p>
        </w:tc>
      </w:tr>
    </w:tbl>
    <w:p w:rsidR="00943FEB" w:rsidRPr="00A550FE" w:rsidRDefault="00943FEB" w:rsidP="00A550FE">
      <w:pPr>
        <w:widowControl w:val="0"/>
        <w:autoSpaceDE w:val="0"/>
        <w:autoSpaceDN w:val="0"/>
        <w:spacing w:before="5" w:line="240" w:lineRule="auto"/>
        <w:ind w:left="0" w:right="0"/>
        <w:rPr>
          <w:rFonts w:eastAsia="Calibri" w:cstheme="minorHAnsi"/>
          <w:i/>
        </w:rPr>
      </w:pPr>
    </w:p>
    <w:p w:rsidR="00943FEB" w:rsidRPr="00A550FE" w:rsidRDefault="00943FEB" w:rsidP="00A550FE">
      <w:pPr>
        <w:spacing w:line="240" w:lineRule="auto"/>
        <w:ind w:left="0"/>
        <w:rPr>
          <w:rFonts w:cstheme="minorHAnsi"/>
        </w:rPr>
        <w:sectPr w:rsidR="00943FEB" w:rsidRPr="00A550FE" w:rsidSect="00535565">
          <w:headerReference w:type="even" r:id="rId15"/>
          <w:headerReference w:type="default" r:id="rId16"/>
          <w:headerReference w:type="first" r:id="rId17"/>
          <w:pgSz w:w="15840" w:h="12240" w:orient="landscape"/>
          <w:pgMar w:top="1440" w:right="1440" w:bottom="1440" w:left="1440" w:header="720" w:footer="720" w:gutter="0"/>
          <w:cols w:space="720"/>
          <w:docGrid w:linePitch="360"/>
        </w:sectPr>
      </w:pPr>
    </w:p>
    <w:p w:rsidR="00166552" w:rsidRPr="00006475" w:rsidRDefault="00006475" w:rsidP="00A550FE">
      <w:pPr>
        <w:spacing w:line="240" w:lineRule="auto"/>
        <w:ind w:left="0"/>
        <w:rPr>
          <w:rFonts w:cstheme="minorHAnsi"/>
          <w:b/>
          <w:sz w:val="26"/>
        </w:rPr>
      </w:pPr>
      <w:r w:rsidRPr="00006475">
        <w:rPr>
          <w:rFonts w:cstheme="minorHAnsi"/>
          <w:b/>
          <w:sz w:val="26"/>
        </w:rPr>
        <w:t xml:space="preserve">Addendum: </w:t>
      </w:r>
      <w:r>
        <w:rPr>
          <w:rFonts w:cstheme="minorHAnsi"/>
          <w:b/>
          <w:sz w:val="26"/>
        </w:rPr>
        <w:t xml:space="preserve">2017 </w:t>
      </w:r>
      <w:r w:rsidRPr="00006475">
        <w:rPr>
          <w:rFonts w:cstheme="minorHAnsi"/>
          <w:b/>
          <w:sz w:val="26"/>
        </w:rPr>
        <w:t xml:space="preserve">SRRTTF </w:t>
      </w:r>
      <w:r w:rsidR="00166552" w:rsidRPr="00006475">
        <w:rPr>
          <w:rFonts w:cstheme="minorHAnsi"/>
          <w:b/>
          <w:sz w:val="26"/>
        </w:rPr>
        <w:t>Presentations, Decisions, and Action Items:</w:t>
      </w:r>
    </w:p>
    <w:p w:rsidR="00166552" w:rsidRPr="00A550FE" w:rsidRDefault="00166552" w:rsidP="00A550FE">
      <w:pPr>
        <w:spacing w:line="240" w:lineRule="auto"/>
        <w:ind w:left="0"/>
        <w:rPr>
          <w:rFonts w:cstheme="minorHAnsi"/>
          <w:b/>
          <w:i/>
        </w:rPr>
      </w:pPr>
    </w:p>
    <w:p w:rsidR="00166552" w:rsidRPr="00A550FE" w:rsidRDefault="00166552" w:rsidP="00A550FE">
      <w:pPr>
        <w:spacing w:line="240" w:lineRule="auto"/>
        <w:ind w:left="0"/>
        <w:rPr>
          <w:rFonts w:cstheme="minorHAnsi"/>
          <w:b/>
          <w:i/>
        </w:rPr>
      </w:pPr>
      <w:r w:rsidRPr="00A550FE">
        <w:rPr>
          <w:rFonts w:cstheme="minorHAnsi"/>
          <w:b/>
          <w:i/>
        </w:rPr>
        <w:t xml:space="preserve">Number of meetings in 2017 </w:t>
      </w:r>
      <w:r w:rsidRPr="00A550FE">
        <w:rPr>
          <w:rFonts w:cstheme="minorHAnsi"/>
          <w:i/>
        </w:rPr>
        <w:t>(</w:t>
      </w:r>
      <w:hyperlink r:id="rId18" w:history="1">
        <w:r w:rsidRPr="00A550FE">
          <w:rPr>
            <w:rStyle w:val="Hyperlink"/>
            <w:rFonts w:cstheme="minorHAnsi"/>
          </w:rPr>
          <w:t>http://srrttf.org/?page_id=961</w:t>
        </w:r>
      </w:hyperlink>
      <w:r w:rsidRPr="00A550FE">
        <w:rPr>
          <w:rFonts w:cstheme="minorHAnsi"/>
          <w:i/>
        </w:rPr>
        <w:t>)</w:t>
      </w:r>
    </w:p>
    <w:p w:rsidR="00166552" w:rsidRPr="00A550FE" w:rsidRDefault="00166552" w:rsidP="00A550FE">
      <w:pPr>
        <w:pStyle w:val="ListParagraph"/>
        <w:numPr>
          <w:ilvl w:val="0"/>
          <w:numId w:val="46"/>
        </w:numPr>
        <w:spacing w:line="240" w:lineRule="auto"/>
        <w:ind w:left="360" w:right="0"/>
        <w:rPr>
          <w:rFonts w:cstheme="minorHAnsi"/>
        </w:rPr>
      </w:pPr>
      <w:r w:rsidRPr="00A550FE">
        <w:rPr>
          <w:rFonts w:cstheme="minorHAnsi"/>
        </w:rPr>
        <w:t>Task Force (TF) Meetings: 15</w:t>
      </w:r>
    </w:p>
    <w:p w:rsidR="00166552" w:rsidRPr="00A550FE" w:rsidRDefault="00166552" w:rsidP="00A550FE">
      <w:pPr>
        <w:pStyle w:val="ListParagraph"/>
        <w:numPr>
          <w:ilvl w:val="1"/>
          <w:numId w:val="46"/>
        </w:numPr>
        <w:spacing w:line="240" w:lineRule="auto"/>
        <w:ind w:left="1080" w:right="0"/>
        <w:rPr>
          <w:rFonts w:cstheme="minorHAnsi"/>
        </w:rPr>
      </w:pPr>
      <w:r w:rsidRPr="00A550FE">
        <w:rPr>
          <w:rFonts w:cstheme="minorHAnsi"/>
        </w:rPr>
        <w:t>13 official SRRTTF (including two by phone); and</w:t>
      </w:r>
    </w:p>
    <w:p w:rsidR="00166552" w:rsidRPr="00A550FE" w:rsidRDefault="00166552" w:rsidP="00A550FE">
      <w:pPr>
        <w:pStyle w:val="ListParagraph"/>
        <w:numPr>
          <w:ilvl w:val="1"/>
          <w:numId w:val="46"/>
        </w:numPr>
        <w:spacing w:line="240" w:lineRule="auto"/>
        <w:ind w:left="1080" w:right="0"/>
        <w:rPr>
          <w:rFonts w:cstheme="minorHAnsi"/>
        </w:rPr>
      </w:pPr>
      <w:r w:rsidRPr="00A550FE">
        <w:rPr>
          <w:rFonts w:cstheme="minorHAnsi"/>
        </w:rPr>
        <w:t>Two other stand-alone meetings with EPA and Color Pigment Manufacturers Association</w:t>
      </w:r>
    </w:p>
    <w:p w:rsidR="00166552" w:rsidRPr="00A550FE" w:rsidRDefault="00166552" w:rsidP="00A550FE">
      <w:pPr>
        <w:pStyle w:val="ListParagraph"/>
        <w:numPr>
          <w:ilvl w:val="0"/>
          <w:numId w:val="46"/>
        </w:numPr>
        <w:spacing w:line="240" w:lineRule="auto"/>
        <w:ind w:left="360" w:right="0"/>
        <w:rPr>
          <w:rFonts w:cstheme="minorHAnsi"/>
        </w:rPr>
      </w:pPr>
      <w:r w:rsidRPr="00A550FE">
        <w:rPr>
          <w:rFonts w:cstheme="minorHAnsi"/>
        </w:rPr>
        <w:t>Technical Track Work Group (TTWG) Meetings: 12</w:t>
      </w:r>
    </w:p>
    <w:p w:rsidR="00166552" w:rsidRPr="00A550FE" w:rsidRDefault="00166552" w:rsidP="00A550FE">
      <w:pPr>
        <w:pStyle w:val="ListParagraph"/>
        <w:numPr>
          <w:ilvl w:val="0"/>
          <w:numId w:val="46"/>
        </w:numPr>
        <w:spacing w:line="240" w:lineRule="auto"/>
        <w:ind w:left="360" w:right="0"/>
        <w:rPr>
          <w:rFonts w:cstheme="minorHAnsi"/>
        </w:rPr>
      </w:pPr>
      <w:r w:rsidRPr="00A550FE">
        <w:rPr>
          <w:rFonts w:cstheme="minorHAnsi"/>
        </w:rPr>
        <w:t>Education &amp; Outreach (E&amp;O) Work Group Meetings: Six</w:t>
      </w:r>
    </w:p>
    <w:p w:rsidR="00166552" w:rsidRPr="00A550FE" w:rsidRDefault="00166552" w:rsidP="00A550FE">
      <w:pPr>
        <w:pStyle w:val="ListParagraph"/>
        <w:numPr>
          <w:ilvl w:val="0"/>
          <w:numId w:val="46"/>
        </w:numPr>
        <w:spacing w:line="240" w:lineRule="auto"/>
        <w:ind w:left="360" w:right="0"/>
        <w:rPr>
          <w:rFonts w:cstheme="minorHAnsi"/>
        </w:rPr>
      </w:pPr>
      <w:r w:rsidRPr="00A550FE">
        <w:rPr>
          <w:rFonts w:cstheme="minorHAnsi"/>
        </w:rPr>
        <w:t>Funding Work Group Meetings: One</w:t>
      </w:r>
    </w:p>
    <w:p w:rsidR="00166552" w:rsidRPr="00A550FE" w:rsidRDefault="00166552" w:rsidP="00A550FE">
      <w:pPr>
        <w:pStyle w:val="ListParagraph"/>
        <w:numPr>
          <w:ilvl w:val="0"/>
          <w:numId w:val="46"/>
        </w:numPr>
        <w:spacing w:line="240" w:lineRule="auto"/>
        <w:ind w:left="360" w:right="0"/>
        <w:rPr>
          <w:rFonts w:cstheme="minorHAnsi"/>
        </w:rPr>
      </w:pPr>
      <w:r w:rsidRPr="00A550FE">
        <w:rPr>
          <w:rFonts w:cstheme="minorHAnsi"/>
        </w:rPr>
        <w:t>Administrative &amp; Contracting Entity (ACE) Meetings: Four</w:t>
      </w:r>
    </w:p>
    <w:p w:rsidR="00166552" w:rsidRPr="00A550FE" w:rsidRDefault="00166552" w:rsidP="00A550FE">
      <w:pPr>
        <w:spacing w:line="240" w:lineRule="auto"/>
        <w:ind w:left="0"/>
        <w:rPr>
          <w:rFonts w:cstheme="minorHAnsi"/>
        </w:rPr>
      </w:pPr>
    </w:p>
    <w:p w:rsidR="00166552" w:rsidRPr="00A550FE" w:rsidRDefault="00166552" w:rsidP="00A550FE">
      <w:pPr>
        <w:spacing w:line="240" w:lineRule="auto"/>
        <w:ind w:left="0"/>
        <w:rPr>
          <w:rFonts w:cstheme="minorHAnsi"/>
          <w:b/>
          <w:u w:val="single"/>
        </w:rPr>
      </w:pPr>
      <w:r w:rsidRPr="00A550FE">
        <w:rPr>
          <w:rFonts w:cstheme="minorHAnsi"/>
          <w:b/>
          <w:u w:val="single"/>
        </w:rPr>
        <w:t>January 2017:</w:t>
      </w:r>
      <w:r w:rsidRPr="00A550FE">
        <w:rPr>
          <w:rFonts w:cstheme="minorHAnsi"/>
        </w:rPr>
        <w:t xml:space="preserve"> Three meetings in January (TTWG, TF, and E&amp;O)</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b/>
          <w:i/>
        </w:rPr>
      </w:pPr>
      <w:r w:rsidRPr="00A550FE">
        <w:rPr>
          <w:rFonts w:cstheme="minorHAnsi"/>
          <w:b/>
        </w:rPr>
        <w:t>Process Discussion</w:t>
      </w:r>
      <w:r w:rsidRPr="00A550FE">
        <w:rPr>
          <w:rFonts w:cstheme="minorHAnsi"/>
          <w:b/>
          <w:i/>
        </w:rPr>
        <w:t xml:space="preserve">: </w:t>
      </w:r>
      <w:r w:rsidRPr="00A550FE">
        <w:rPr>
          <w:rFonts w:cstheme="minorHAnsi"/>
        </w:rPr>
        <w:t>Chris Page asked the Task Force to try to get all meeting materials in by noon the day before meetings. This is deadline for edits to agenda and materials with the exception of crucial late-breaking information.</w:t>
      </w:r>
    </w:p>
    <w:p w:rsidR="00166552" w:rsidRPr="00A550FE" w:rsidRDefault="00166552" w:rsidP="00A550FE">
      <w:pPr>
        <w:spacing w:line="240" w:lineRule="auto"/>
        <w:ind w:left="0"/>
        <w:rPr>
          <w:rFonts w:cstheme="minorHAnsi"/>
        </w:rPr>
      </w:pPr>
      <w:r w:rsidRPr="00A550FE">
        <w:rPr>
          <w:rFonts w:cstheme="minorHAnsi"/>
          <w:b/>
        </w:rPr>
        <w:t>Presentation/Discussion</w:t>
      </w:r>
      <w:r w:rsidRPr="00A550FE">
        <w:rPr>
          <w:rFonts w:cstheme="minorHAnsi"/>
          <w:b/>
          <w:i/>
        </w:rPr>
        <w:t>:</w:t>
      </w:r>
      <w:r w:rsidRPr="00A550FE">
        <w:rPr>
          <w:rFonts w:cstheme="minorHAnsi"/>
          <w:i/>
        </w:rPr>
        <w:t xml:space="preserve"> </w:t>
      </w:r>
      <w:r w:rsidRPr="00A550FE">
        <w:rPr>
          <w:rFonts w:cstheme="minorHAnsi"/>
        </w:rPr>
        <w:t>Several EPA representatives attended the Task Force meeting in person or via phone to discuss the Human Health Criterial Ruling: Christine Psyk, Angela Chung, Brian Nickel, Mike Szelag, and Lucy Edmonson (who will join Brian Nickel in representing EPA on the SRRTTF).</w:t>
      </w:r>
    </w:p>
    <w:p w:rsidR="00166552" w:rsidRPr="00A550FE" w:rsidRDefault="00166552" w:rsidP="00A550FE">
      <w:pPr>
        <w:spacing w:line="240" w:lineRule="auto"/>
        <w:ind w:left="0"/>
        <w:rPr>
          <w:rFonts w:cstheme="minorHAnsi"/>
        </w:rPr>
      </w:pPr>
      <w:r w:rsidRPr="00A550FE">
        <w:rPr>
          <w:rFonts w:cstheme="minorHAnsi"/>
          <w:b/>
        </w:rPr>
        <w:t>Presentation/Discussion</w:t>
      </w:r>
      <w:r w:rsidRPr="00A550FE">
        <w:rPr>
          <w:rFonts w:cstheme="minorHAnsi"/>
        </w:rPr>
        <w:t>: Brandee Era-Miller provided, via email, updates on ongoing EAP projects: Long-Term Monitoring of PCBs in Lake Spokane Using Age-Dated Lake Sediment Cores, LSR Hatchery Case Study (sampling/analysis of hatchery fish—includes Trout Lodge (Avista) fish, High Volume Sampling/Long Term Monitoring Station at Spokane Tribal Reservation Boundary, Atmospheric Deposition, and Assessment of Methods for Sampling Low-Level Toxics in Surface Waters.</w:t>
      </w:r>
    </w:p>
    <w:p w:rsidR="00166552" w:rsidRPr="00A550FE" w:rsidRDefault="00166552" w:rsidP="00A550FE">
      <w:pPr>
        <w:spacing w:line="240" w:lineRule="auto"/>
        <w:ind w:left="0"/>
        <w:rPr>
          <w:rFonts w:cstheme="minorHAnsi"/>
        </w:rPr>
      </w:pPr>
    </w:p>
    <w:p w:rsidR="00166552" w:rsidRPr="00A550FE" w:rsidRDefault="00166552" w:rsidP="00A550FE">
      <w:pPr>
        <w:spacing w:line="240" w:lineRule="auto"/>
        <w:ind w:left="0"/>
        <w:rPr>
          <w:rFonts w:cstheme="minorHAnsi"/>
          <w:b/>
          <w: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SRRTTF accepted the notes for November 16, 2016 and December 7, 2016 with a minor edit to the item titled,” Green Chemistry” on the final page of the December 7th, 2016 notes.</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a letter of support for the Lands Council National Fish and Wildlife Foundation Grant Proposal to fund high school curricula for stormwater and Low Impact Development (LID).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group agreed to move forward with development of a contract with CDM Smith to develop a database specific to the Task Force needs (to include that they turn the database over to the TF after). ACE to proceed with the contract with the scope of work as written.</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press release (drafted by the Education and Outreach work group) on the completion of the Comprehensive Plan, with minor edits as discussed at the meeting, and with the addition of a list of contacts as discussed.</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May 24th, 2017 Task Force meeting was moved to May 31st, 2017.</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send EAP project update out to the full task Force.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incorporate all TTWG comments on the draft Press Release and send to the Task Force for review. Ruckelshaus Center to post Draft on January 18th, 2017 for a decision at the January Task Force meeting. (COMPLETE)</w:t>
      </w:r>
    </w:p>
    <w:p w:rsidR="00166552" w:rsidRPr="00A550FE" w:rsidRDefault="00166552" w:rsidP="00A550FE">
      <w:pPr>
        <w:spacing w:line="240" w:lineRule="auto"/>
        <w:ind w:left="0"/>
        <w:rPr>
          <w:rFonts w:cstheme="minorHAnsi"/>
          <w:b/>
        </w:rPr>
      </w:pPr>
      <w:r w:rsidRPr="00A550FE">
        <w:rPr>
          <w:rFonts w:cstheme="minorHAnsi"/>
          <w:b/>
        </w:rPr>
        <w:t>ACTION ITEM</w:t>
      </w:r>
      <w:r w:rsidRPr="00A550FE">
        <w:rPr>
          <w:rFonts w:cstheme="minorHAnsi"/>
        </w:rPr>
        <w:t>: Chris Page to add funding/budget to the 1/25/17 Task Force meeting agenda.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edit and post the notes to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Chris Page to connect with King County about a presentation on the blank contamination study at a future Task Force meeting. </w:t>
      </w:r>
      <w:r w:rsidRPr="00A550FE">
        <w:rPr>
          <w:rFonts w:cstheme="minorHAnsi"/>
          <w:highlight w:val="yellow"/>
        </w:rPr>
        <w:t>(Sent email, but needs follow-up)</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(Kara Whitman) to resend edited email asking SRRTTF participants to urge legislators to provide $ to the Task Force in the legislative budget.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Add an agenda item for next meeting – revisit the budget, funding strategies, and funding work group. (COMPLETE)</w:t>
      </w:r>
    </w:p>
    <w:p w:rsidR="00166552" w:rsidRPr="00A550FE" w:rsidRDefault="00166552" w:rsidP="00A550FE">
      <w:pPr>
        <w:spacing w:line="240" w:lineRule="auto"/>
        <w:ind w:left="0"/>
        <w:rPr>
          <w:rFonts w:cstheme="minorHAnsi"/>
          <w:b/>
        </w:rPr>
      </w:pPr>
      <w:r w:rsidRPr="00A550FE">
        <w:rPr>
          <w:rFonts w:cstheme="minorHAnsi"/>
          <w:b/>
        </w:rPr>
        <w:t>ACTION ITEM:</w:t>
      </w:r>
      <w:r w:rsidRPr="00A550FE">
        <w:rPr>
          <w:rFonts w:cstheme="minorHAnsi"/>
        </w:rPr>
        <w:t xml:space="preserve"> Kara to send the edited letter to Amanda Parrish on Task Force letterhead. (COMPLETE)</w:t>
      </w:r>
    </w:p>
    <w:p w:rsidR="00166552" w:rsidRPr="00A550FE" w:rsidRDefault="00166552" w:rsidP="00A550FE">
      <w:pPr>
        <w:spacing w:line="240" w:lineRule="auto"/>
        <w:ind w:left="0"/>
        <w:rPr>
          <w:rFonts w:cstheme="minorHAnsi"/>
          <w:b/>
        </w:rPr>
      </w:pPr>
      <w:r w:rsidRPr="00A550FE">
        <w:rPr>
          <w:rFonts w:cstheme="minorHAnsi"/>
          <w:b/>
        </w:rPr>
        <w:t>ACTION ITEM:</w:t>
      </w:r>
      <w:r w:rsidRPr="00A550FE">
        <w:rPr>
          <w:rFonts w:cstheme="minorHAnsi"/>
        </w:rPr>
        <w:t xml:space="preserve"> Kara Whitman to make the edits to the Comp Plan press release and add all signatories’ names, including John Beacham from Post Falls, and others if they choose (IDEQ and Dept. of Transportation) and put it on Task Force letterhead. Ruckelshaus Center to post the release on the Task Force website. Have Brook Beeler send out to the Ecology list serve, potentially Dan Redline at IDEQ.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Dave Moss to check on room availability for May 31st at the Spokane County Water Resource Center. (COMPLETED, confirmed)</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Kristen Zimmer to build a mockup for a new opening home page for the Task Force that focusses implementation and the PCB “story” as discussed in the meeting. Toni Taylor to help provide text for the page.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Education and Outreach work group to start to pull together a logic diagram/draft work plan for the work of the education and outreach work group over the next year based on the control actions in the Comp Plan.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Ruckelshaus Center to put together a list of the SWAT teams and their leads and send out to the full Task Force. (COMPLETE)</w:t>
      </w:r>
    </w:p>
    <w:p w:rsidR="00166552" w:rsidRPr="00A550FE" w:rsidRDefault="00166552" w:rsidP="00A550FE">
      <w:pPr>
        <w:spacing w:line="240" w:lineRule="auto"/>
        <w:ind w:left="0"/>
        <w:rPr>
          <w:rFonts w:cstheme="minorHAnsi"/>
          <w:b/>
        </w:rPr>
      </w:pPr>
    </w:p>
    <w:p w:rsidR="00166552" w:rsidRPr="00A550FE" w:rsidRDefault="00166552" w:rsidP="00A550FE">
      <w:pPr>
        <w:spacing w:line="240" w:lineRule="auto"/>
        <w:ind w:left="0"/>
        <w:rPr>
          <w:rFonts w:cstheme="minorHAnsi"/>
          <w:b/>
          <w:u w:val="single"/>
        </w:rPr>
      </w:pPr>
      <w:r w:rsidRPr="00A550FE">
        <w:rPr>
          <w:rFonts w:cstheme="minorHAnsi"/>
          <w:b/>
          <w:u w:val="single"/>
        </w:rPr>
        <w:t>February 2017:</w:t>
      </w:r>
      <w:r w:rsidRPr="00A550FE">
        <w:rPr>
          <w:rFonts w:cstheme="minorHAnsi"/>
          <w:b/>
        </w:rPr>
        <w:t xml:space="preserve"> </w:t>
      </w:r>
      <w:r w:rsidRPr="00A550FE">
        <w:rPr>
          <w:rFonts w:cstheme="minorHAnsi"/>
        </w:rPr>
        <w:t>Four meetings in February (TF, TTWG, ACE, E&amp;O)</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Presentation/Discussion:</w:t>
      </w:r>
      <w:r w:rsidRPr="00A550FE">
        <w:rPr>
          <w:rFonts w:cstheme="minorHAnsi"/>
        </w:rPr>
        <w:t xml:space="preserve"> EPA requested to meet with the Task Force (as requested) to discuss issues related to the Toxic Substances Control Act (TSCA); folks from EPA Region 10 will attend in person and EPA representatives from D.C. will attend by phone. They would like to talk through the challenges, and discuss options and strategies for addressing them. (Scheduled for April 2017)</w:t>
      </w:r>
    </w:p>
    <w:p w:rsidR="00166552" w:rsidRPr="00A550FE" w:rsidRDefault="00166552" w:rsidP="00A550FE">
      <w:pPr>
        <w:spacing w:line="240" w:lineRule="auto"/>
        <w:ind w:left="0"/>
        <w:rPr>
          <w:rFonts w:cstheme="minorHAnsi"/>
        </w:rPr>
      </w:pPr>
      <w:r w:rsidRPr="00A550FE">
        <w:rPr>
          <w:rFonts w:cstheme="minorHAnsi"/>
          <w:b/>
        </w:rPr>
        <w:t>Discussion:</w:t>
      </w:r>
      <w:r w:rsidRPr="00A550FE">
        <w:rPr>
          <w:rFonts w:cstheme="minorHAnsi"/>
        </w:rPr>
        <w:t xml:space="preserve"> Task Force members attended </w:t>
      </w:r>
      <w:hyperlink r:id="rId19" w:history="1">
        <w:r w:rsidRPr="00A550FE">
          <w:rPr>
            <w:rStyle w:val="Hyperlink"/>
            <w:rFonts w:cstheme="minorHAnsi"/>
          </w:rPr>
          <w:t>Ecology Policy 1-11 Webinars</w:t>
        </w:r>
      </w:hyperlink>
      <w:r w:rsidRPr="00A550FE">
        <w:rPr>
          <w:rFonts w:cstheme="minorHAnsi"/>
        </w:rPr>
        <w:t xml:space="preserve"> and provided input. </w:t>
      </w:r>
    </w:p>
    <w:p w:rsidR="00166552" w:rsidRPr="00A550FE" w:rsidRDefault="00166552" w:rsidP="00A550FE">
      <w:pPr>
        <w:spacing w:line="240" w:lineRule="auto"/>
        <w:ind w:left="0"/>
        <w:rPr>
          <w:rFonts w:cstheme="minorHAnsi"/>
          <w:color w:val="4F81BD" w:themeColor="accent1"/>
        </w:rPr>
      </w:pPr>
      <w:r w:rsidRPr="00A550FE">
        <w:rPr>
          <w:rFonts w:cstheme="minorHAnsi"/>
          <w:b/>
        </w:rPr>
        <w:t>Presentation/Discussion:</w:t>
      </w:r>
      <w:r w:rsidRPr="00A550FE">
        <w:rPr>
          <w:rFonts w:cstheme="minorHAnsi"/>
        </w:rPr>
        <w:t xml:space="preserve"> Task Force small control action work groups presented their work plan status: </w:t>
      </w:r>
      <w:hyperlink r:id="rId20" w:history="1">
        <w:r w:rsidRPr="00A550FE">
          <w:rPr>
            <w:rStyle w:val="Hyperlink"/>
            <w:rFonts w:cstheme="minorHAnsi"/>
            <w:color w:val="4F81BD" w:themeColor="accent1"/>
          </w:rPr>
          <w:t>Demolition Renovation and Control</w:t>
        </w:r>
      </w:hyperlink>
      <w:r w:rsidRPr="00A550FE">
        <w:rPr>
          <w:rFonts w:cstheme="minorHAnsi"/>
          <w:color w:val="4F81BD" w:themeColor="accent1"/>
        </w:rPr>
        <w:t xml:space="preserve">, </w:t>
      </w:r>
      <w:hyperlink r:id="rId21" w:history="1">
        <w:r w:rsidRPr="00A550FE">
          <w:rPr>
            <w:rStyle w:val="Hyperlink"/>
            <w:rFonts w:cstheme="minorHAnsi"/>
            <w:color w:val="4F81BD" w:themeColor="accent1"/>
          </w:rPr>
          <w:t>Green Chemistry</w:t>
        </w:r>
      </w:hyperlink>
      <w:r w:rsidRPr="00A550FE">
        <w:rPr>
          <w:rFonts w:cstheme="minorHAnsi"/>
          <w:color w:val="4F81BD" w:themeColor="accent1"/>
        </w:rPr>
        <w:t xml:space="preserve">,  </w:t>
      </w:r>
      <w:hyperlink r:id="rId22" w:history="1">
        <w:r w:rsidRPr="00A550FE">
          <w:rPr>
            <w:rStyle w:val="Hyperlink"/>
            <w:rFonts w:cstheme="minorHAnsi"/>
            <w:color w:val="4F81BD" w:themeColor="accent1"/>
          </w:rPr>
          <w:t>Education and Outreach</w:t>
        </w:r>
      </w:hyperlink>
      <w:r w:rsidRPr="00A550FE">
        <w:rPr>
          <w:rFonts w:cstheme="minorHAnsi"/>
          <w:color w:val="4F81BD" w:themeColor="accent1"/>
        </w:rPr>
        <w:t xml:space="preserve">.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 xml:space="preserve">Outputs: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January 25th, 2017 notes with minor edits. </w:t>
      </w:r>
    </w:p>
    <w:p w:rsidR="00166552" w:rsidRPr="00A550FE" w:rsidRDefault="00166552" w:rsidP="00A550FE">
      <w:pPr>
        <w:spacing w:line="240" w:lineRule="auto"/>
        <w:ind w:left="0"/>
        <w:rPr>
          <w:rFonts w:cstheme="minorHAnsi"/>
          <w:b/>
        </w:rPr>
      </w:pPr>
      <w:r w:rsidRPr="00A550FE">
        <w:rPr>
          <w:rFonts w:cstheme="minorHAnsi"/>
          <w:b/>
        </w:rPr>
        <w:t>ACTION ITEM:</w:t>
      </w:r>
      <w:r w:rsidRPr="00A550FE">
        <w:rPr>
          <w:rFonts w:cstheme="minorHAnsi"/>
        </w:rPr>
        <w:t xml:space="preserve"> The Data Mining SWAT Team to consider meeting with the TCP program including Bill fees, Sandy Trecanni, and Jeremy Schmidt to narrow the focus for data mining.</w:t>
      </w:r>
      <w:r w:rsidRPr="00A550FE">
        <w:rPr>
          <w:rFonts w:cstheme="minorHAnsi"/>
          <w:b/>
        </w:rPr>
        <w:t xml:space="preserv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Bud Leber to take the data mining flow chart and expand so that it directly links to what is in the comp plan, prepare for the February TF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Tracking timeline: put in the Items that exactly match the comp plan – put this in the excel spreadsheet.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Building demolition and renovations: Cadie Olsen to set the next meeting of this subcommittee and prepare some discussion of next steps to discuss at the next full Task Force meeting. They will work from the Building and Renovation Control flow chart that Adriane put together.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Colorbox Rules: Greg Lahti will find more about the timeline for DES and report back to the Task Force to look at spreadsheet of the potential impact to the river given concentration of PCBS in paint and the gallons applied to roads.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revise the control action excel spreadsheet, adding a section called “future studies”, or make a separate tab for this section of the Com Plan. Also, make sure that the spreadsheet is consistent with the numbering and designation of A, B, C actions as designated in the Comp Plan.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edits to the January 25</w:t>
      </w:r>
      <w:r w:rsidRPr="00A550FE">
        <w:rPr>
          <w:rFonts w:cstheme="minorHAnsi"/>
          <w:vertAlign w:val="superscript"/>
        </w:rPr>
        <w:t>th</w:t>
      </w:r>
      <w:r w:rsidRPr="00A550FE">
        <w:rPr>
          <w:rFonts w:cstheme="minorHAnsi"/>
        </w:rPr>
        <w:t>, 2017 notes and post to the Task Force website. (COMPLETE)</w:t>
      </w:r>
    </w:p>
    <w:p w:rsidR="00166552" w:rsidRPr="00A550FE" w:rsidRDefault="00166552" w:rsidP="00A550FE">
      <w:pPr>
        <w:spacing w:line="240" w:lineRule="auto"/>
        <w:ind w:left="0"/>
        <w:rPr>
          <w:rFonts w:cstheme="minorHAnsi"/>
          <w:b/>
        </w:rPr>
      </w:pPr>
      <w:r w:rsidRPr="00A550FE">
        <w:rPr>
          <w:rFonts w:cstheme="minorHAnsi"/>
          <w:b/>
        </w:rPr>
        <w:t>ACTION ITEM:</w:t>
      </w:r>
      <w:r w:rsidRPr="00A550FE">
        <w:rPr>
          <w:rFonts w:cstheme="minorHAnsi"/>
        </w:rPr>
        <w:t xml:space="preserve"> Technical Track Work Group (TTWG): Comp plan actions -Evaluate and determine the first steps, estimate how much they cost, and make recommendations to the Task Force. (COMPLETE)</w:t>
      </w:r>
      <w:r w:rsidRPr="00A550FE">
        <w:rPr>
          <w:rFonts w:cstheme="minorHAnsi"/>
          <w:b/>
        </w:rPr>
        <w:t xml:space="preserve"> </w:t>
      </w:r>
    </w:p>
    <w:p w:rsidR="00166552" w:rsidRPr="00A550FE" w:rsidRDefault="00166552" w:rsidP="00A550FE">
      <w:pPr>
        <w:spacing w:line="240" w:lineRule="auto"/>
        <w:ind w:left="0"/>
        <w:rPr>
          <w:rFonts w:cstheme="minorHAnsi"/>
          <w:b/>
        </w:rPr>
      </w:pPr>
      <w:r w:rsidRPr="00A550FE">
        <w:rPr>
          <w:rFonts w:cstheme="minorHAnsi"/>
          <w:b/>
        </w:rPr>
        <w:t>ACTION ITEM:</w:t>
      </w:r>
      <w:r w:rsidRPr="00A550FE">
        <w:rPr>
          <w:rFonts w:cstheme="minorHAnsi"/>
        </w:rPr>
        <w:t xml:space="preserve"> Lisa Dally Wilson: Put data mining logic flow into list form for the TTWG to prioritize. </w:t>
      </w:r>
      <w:r w:rsidRPr="00A550FE">
        <w:rPr>
          <w:rFonts w:cstheme="minorHAnsi"/>
          <w:b/>
        </w:rPr>
        <w:t xml:space="preserve">(COMPLETE)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Comp Plan Work groups identify any anticipated expenditures.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send out Greg Lahti’s numbers on PCBs in WSDOT paint in Spokane River basin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Chris Page to connect with Andy Dunau to discuss the River Forum agenda and see if there is crossover with the Task Force work. (COMPLETE—no agenda yet for River Forum, dialogue to continue)</w:t>
      </w:r>
    </w:p>
    <w:p w:rsidR="00166552" w:rsidRPr="00A550FE" w:rsidRDefault="00166552" w:rsidP="00A550FE">
      <w:pPr>
        <w:spacing w:line="240" w:lineRule="auto"/>
        <w:ind w:left="0"/>
        <w:rPr>
          <w:rFonts w:cstheme="minorHAnsi"/>
          <w:b/>
        </w:rPr>
      </w:pPr>
      <w:r w:rsidRPr="00A550FE">
        <w:rPr>
          <w:rFonts w:cstheme="minorHAnsi"/>
          <w:b/>
        </w:rPr>
        <w:t>ACTION ITEM:</w:t>
      </w:r>
      <w:r w:rsidRPr="00A550FE">
        <w:rPr>
          <w:rFonts w:cstheme="minorHAnsi"/>
        </w:rPr>
        <w:t xml:space="preserve"> Kara Whitman to send out information on the petition to EPA rom the Association of Washington Business. (COMPLETE)</w:t>
      </w:r>
    </w:p>
    <w:p w:rsidR="00166552" w:rsidRPr="00A550FE" w:rsidRDefault="00166552" w:rsidP="00A550FE">
      <w:pPr>
        <w:spacing w:line="240" w:lineRule="auto"/>
        <w:ind w:left="0"/>
        <w:rPr>
          <w:rFonts w:cstheme="minorHAnsi"/>
          <w:b/>
          <w:u w:val="single"/>
        </w:rPr>
      </w:pPr>
    </w:p>
    <w:p w:rsidR="00166552" w:rsidRPr="00A550FE" w:rsidRDefault="00166552" w:rsidP="00A550FE">
      <w:pPr>
        <w:spacing w:line="240" w:lineRule="auto"/>
        <w:ind w:left="0"/>
        <w:rPr>
          <w:rFonts w:cstheme="minorHAnsi"/>
        </w:rPr>
      </w:pPr>
      <w:r w:rsidRPr="00A550FE">
        <w:rPr>
          <w:rFonts w:cstheme="minorHAnsi"/>
          <w:b/>
          <w:u w:val="single"/>
        </w:rPr>
        <w:t>March 2017:</w:t>
      </w:r>
      <w:r w:rsidRPr="00A550FE">
        <w:rPr>
          <w:rFonts w:cstheme="minorHAnsi"/>
        </w:rPr>
        <w:t xml:space="preserve"> Three meetings in March 2017 (TTWG, TF, Funding)</w:t>
      </w:r>
    </w:p>
    <w:p w:rsidR="00166552" w:rsidRPr="00A550FE" w:rsidRDefault="00166552" w:rsidP="00A550FE">
      <w:pPr>
        <w:spacing w:before="120" w:line="240" w:lineRule="auto"/>
        <w:ind w:left="0"/>
        <w:rPr>
          <w:rFonts w:cstheme="minorHAnsi"/>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Presentation/Update:</w:t>
      </w:r>
      <w:r w:rsidRPr="00A550FE">
        <w:rPr>
          <w:rFonts w:cstheme="minorHAnsi"/>
          <w:b/>
          <w:i/>
        </w:rPr>
        <w:t xml:space="preserve"> </w:t>
      </w:r>
      <w:r w:rsidRPr="00A550FE">
        <w:rPr>
          <w:rFonts w:cstheme="minorHAnsi"/>
        </w:rPr>
        <w:t xml:space="preserve">The Lands Council provided an update on the White Rot Fungi Project (PCBs in Vactor Waste Breakdown). </w:t>
      </w:r>
    </w:p>
    <w:p w:rsidR="00166552" w:rsidRPr="00A550FE" w:rsidRDefault="00166552" w:rsidP="00A550FE">
      <w:pPr>
        <w:spacing w:line="240" w:lineRule="auto"/>
        <w:ind w:left="0"/>
        <w:rPr>
          <w:rFonts w:cstheme="minorHAnsi"/>
        </w:rPr>
      </w:pPr>
      <w:r w:rsidRPr="00A550FE">
        <w:rPr>
          <w:rFonts w:cstheme="minorHAnsi"/>
          <w:b/>
        </w:rPr>
        <w:t>Presentation/Discussion:</w:t>
      </w:r>
      <w:r w:rsidRPr="00A550FE">
        <w:rPr>
          <w:rFonts w:cstheme="minorHAnsi"/>
        </w:rPr>
        <w:t xml:space="preserve"> Ecology TCP Program: Reopening Ecology Toxics Cleanup Program Sites</w:t>
      </w:r>
    </w:p>
    <w:p w:rsidR="00166552" w:rsidRPr="00A550FE" w:rsidRDefault="00166552" w:rsidP="00A550FE">
      <w:pPr>
        <w:spacing w:line="240" w:lineRule="auto"/>
        <w:ind w:left="0"/>
        <w:rPr>
          <w:rFonts w:cstheme="minorHAnsi"/>
        </w:rPr>
      </w:pPr>
      <w:r w:rsidRPr="00A550FE">
        <w:rPr>
          <w:rFonts w:cstheme="minorHAnsi"/>
          <w:b/>
        </w:rPr>
        <w:t xml:space="preserve">Presentation/Discussion: </w:t>
      </w:r>
      <w:r w:rsidRPr="00A550FE">
        <w:rPr>
          <w:rFonts w:cstheme="minorHAnsi"/>
        </w:rPr>
        <w:t>Mary Lou Soscia (EPA) Presented on the Columbia River Restoration Act.</w:t>
      </w:r>
    </w:p>
    <w:p w:rsidR="00166552" w:rsidRPr="00A550FE" w:rsidRDefault="00166552" w:rsidP="00A550FE">
      <w:pPr>
        <w:spacing w:line="240" w:lineRule="auto"/>
        <w:ind w:left="0"/>
        <w:rPr>
          <w:rFonts w:cstheme="minorHAnsi"/>
          <w:b/>
          <w:i/>
        </w:rPr>
      </w:pPr>
      <w:r w:rsidRPr="00A550FE">
        <w:rPr>
          <w:rFonts w:cstheme="minorHAnsi"/>
          <w:b/>
        </w:rPr>
        <w:t>Presentation/Discussion:</w:t>
      </w:r>
      <w:r w:rsidRPr="00A550FE">
        <w:rPr>
          <w:rFonts w:cstheme="minorHAnsi"/>
        </w:rPr>
        <w:t xml:space="preserve"> Holly Davies updated the Task For on her work with PCBs in products and the Ecology database that is development.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Adriane will look through the plan to see where Urban Waters can help.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Dave Dilks will add questions raised by the data and how future monitoring would play into this in the Monthly sampling report.</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LimnoTech to pull together </w:t>
      </w:r>
      <w:hyperlink r:id="rId23" w:history="1">
        <w:r w:rsidRPr="00A550FE">
          <w:rPr>
            <w:rStyle w:val="Hyperlink"/>
            <w:rFonts w:cstheme="minorHAnsi"/>
          </w:rPr>
          <w:t>scope and budget and timeline</w:t>
        </w:r>
      </w:hyperlink>
      <w:r w:rsidRPr="00A550FE">
        <w:rPr>
          <w:rFonts w:cstheme="minorHAnsi"/>
        </w:rPr>
        <w:t xml:space="preserve"> for technical support for Task 1, 2, 3 by March 15th, 2017. (COMPLETE) Task Force to decide whether to continue process support with LimnoTech.</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minor revisions to the March 22, 2017 meeting summary and then post to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ACE to put together the contract with Limnotech for Task 1, 2, 3, and 4 as discussed at the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Adriane Borgias to send information on the Duwamish including access to their listserv and Kara Whitman to send it out to the Task Force.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Chris Page to ask Lisa Rodenburg if she would present to the Task Force on her work with the Duwamish. (COMPLETE. Update: Dr. Rodenburg to present at the April 2017 Task Force meeting)</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Dave Dilks, TTWG, and EPA to discuss the process of reopening Ecology TCP sites further with Sandy Trecanni and Bill Fees of TCP.</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Mary Lou to send the Columbia River Restoration Act language to Chris Page to send to the Task Force.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SRRTTF Outreach work group to brainstorm how to tell a coherent story of PCBS in products without causing undue alarm (Discussion in progress, but group needs further discussion.)</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EPA TSCA Meeting: The meeting with EPA representatives will occur April 26th, 2017 after the Task Force meeting at Liberty Lake Sewer and Water District from 12:30pm to 2:00pm. Adriane Borgias and Doug Krapas to coordinate with Lucy on meeting details.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to send the list of contacts for house budget, clarifying that individual organizations should contact legislators.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Adriane to contact work group leads to discuss populating the Comp Plan tracking spreadsheet.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with Adriane’s assistance, convert the Comp Plan tracking spreadsheet into a google doc to send to Task Force members for updating.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Ruckelshaus Center to put together a Scope and budget for 7/1/17-6/30/18, for consideration at the April 2017 Task Force meeting. (COMPLETE)</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March 22, 2017 meeting summary with minor revisions.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LimnoTech Scope of Work for 2017, as amended at the meeting, for a total of $46,800. </w:t>
      </w:r>
    </w:p>
    <w:p w:rsidR="00166552" w:rsidRPr="00A550FE" w:rsidRDefault="00166552" w:rsidP="00A550FE">
      <w:pPr>
        <w:spacing w:line="240" w:lineRule="auto"/>
        <w:ind w:left="0"/>
        <w:rPr>
          <w:rFonts w:cstheme="minorHAnsi"/>
          <w:b/>
          <w:u w:val="single"/>
        </w:rPr>
      </w:pPr>
    </w:p>
    <w:p w:rsidR="00166552" w:rsidRPr="00A550FE" w:rsidRDefault="00166552" w:rsidP="00A550FE">
      <w:pPr>
        <w:spacing w:line="240" w:lineRule="auto"/>
        <w:ind w:left="0"/>
        <w:rPr>
          <w:rFonts w:cstheme="minorHAnsi"/>
        </w:rPr>
      </w:pPr>
      <w:r w:rsidRPr="00A550FE">
        <w:rPr>
          <w:rFonts w:cstheme="minorHAnsi"/>
          <w:b/>
          <w:u w:val="single"/>
        </w:rPr>
        <w:t>April 2017:</w:t>
      </w:r>
      <w:r w:rsidRPr="00A550FE">
        <w:rPr>
          <w:rFonts w:cstheme="minorHAnsi"/>
          <w:b/>
        </w:rPr>
        <w:t xml:space="preserve"> </w:t>
      </w:r>
      <w:r w:rsidRPr="00A550FE">
        <w:rPr>
          <w:rFonts w:cstheme="minorHAnsi"/>
        </w:rPr>
        <w:t>Four meetings in April (TTWG, TF, EPA/TF, E&amp;O)</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Presentations/Discussions (TTWG):</w:t>
      </w:r>
      <w:r w:rsidRPr="00A550FE">
        <w:rPr>
          <w:rFonts w:cstheme="minorHAnsi"/>
        </w:rPr>
        <w:t xml:space="preserve"> Update on December Monthly Sampling Data and 2016 Technical Activities Report, Laboratory blank contamination, </w:t>
      </w:r>
      <w:hyperlink r:id="rId24" w:history="1">
        <w:r w:rsidRPr="00A550FE">
          <w:rPr>
            <w:rStyle w:val="Hyperlink"/>
            <w:rFonts w:cstheme="minorHAnsi"/>
          </w:rPr>
          <w:t>LimnoTech New Scope of Work Task 1-4</w:t>
        </w:r>
      </w:hyperlink>
      <w:r w:rsidRPr="00A550FE">
        <w:rPr>
          <w:rFonts w:cstheme="minorHAnsi"/>
        </w:rPr>
        <w:t>, Positive Matrix Factorization proposal, Updates on Ecology’s Environmental Assessment Program (EAP), and discussion of whether to hold a Technical Workshop in 2017 or early 2018?</w:t>
      </w:r>
    </w:p>
    <w:p w:rsidR="00166552" w:rsidRPr="00A550FE" w:rsidRDefault="004F6DBF" w:rsidP="00A550FE">
      <w:pPr>
        <w:spacing w:line="240" w:lineRule="auto"/>
        <w:ind w:left="0"/>
        <w:rPr>
          <w:rFonts w:cstheme="minorHAnsi"/>
          <w:b/>
        </w:rPr>
      </w:pPr>
      <w:hyperlink r:id="rId25" w:history="1">
        <w:r w:rsidR="00166552" w:rsidRPr="00A550FE">
          <w:rPr>
            <w:rStyle w:val="Hyperlink"/>
            <w:rFonts w:cstheme="minorHAnsi"/>
          </w:rPr>
          <w:t>Special Meeting with EPA Headquarters and EPA Region 10:</w:t>
        </w:r>
      </w:hyperlink>
      <w:r w:rsidR="00166552" w:rsidRPr="00A550FE">
        <w:rPr>
          <w:rFonts w:cstheme="minorHAnsi"/>
        </w:rPr>
        <w:t xml:space="preserve"> Goal of meeting was to identify technically and legally defensible solutions that address the regulatory conflicts between the TSCA/water quality standards and to development of next steps to make this happen should be the primary outcome of this initial meeting. The meeting included presentations by </w:t>
      </w:r>
      <w:hyperlink r:id="rId26" w:history="1">
        <w:r w:rsidR="00166552" w:rsidRPr="00A550FE">
          <w:rPr>
            <w:rStyle w:val="Hyperlink"/>
            <w:rFonts w:cstheme="minorHAnsi"/>
          </w:rPr>
          <w:t>IEP</w:t>
        </w:r>
      </w:hyperlink>
      <w:r w:rsidR="00166552" w:rsidRPr="00A550FE">
        <w:rPr>
          <w:rFonts w:cstheme="minorHAnsi"/>
        </w:rPr>
        <w:t xml:space="preserve"> and </w:t>
      </w:r>
      <w:hyperlink r:id="rId27" w:history="1">
        <w:r w:rsidR="00166552" w:rsidRPr="00A550FE">
          <w:rPr>
            <w:rStyle w:val="Hyperlink"/>
            <w:rFonts w:cstheme="minorHAnsi"/>
          </w:rPr>
          <w:t>Ecology</w:t>
        </w:r>
      </w:hyperlink>
      <w:r w:rsidR="00166552" w:rsidRPr="00A550FE">
        <w:rPr>
          <w:rFonts w:cstheme="minorHAnsi"/>
        </w:rPr>
        <w:t>.</w:t>
      </w:r>
      <w:r w:rsidR="00166552" w:rsidRPr="00A550FE">
        <w:rPr>
          <w:rFonts w:cstheme="minorHAnsi"/>
          <w:b/>
        </w:rPr>
        <w:t xml:space="preserve"> </w:t>
      </w:r>
    </w:p>
    <w:p w:rsidR="00166552" w:rsidRPr="00A550FE" w:rsidRDefault="00166552" w:rsidP="00A550FE">
      <w:pPr>
        <w:spacing w:line="240" w:lineRule="auto"/>
        <w:ind w:left="0"/>
        <w:rPr>
          <w:rFonts w:cstheme="minorHAnsi"/>
        </w:rPr>
      </w:pPr>
      <w:r w:rsidRPr="00A550FE">
        <w:rPr>
          <w:rFonts w:cstheme="minorHAnsi"/>
          <w:b/>
        </w:rPr>
        <w:t xml:space="preserve">Presentations/Discussion (SRRTTF): </w:t>
      </w:r>
      <w:r w:rsidRPr="00A550FE">
        <w:rPr>
          <w:rFonts w:cstheme="minorHAnsi"/>
        </w:rPr>
        <w:t xml:space="preserve">Dr. Lisa Rodenburg called in to present her </w:t>
      </w:r>
      <w:hyperlink r:id="rId28" w:history="1">
        <w:r w:rsidRPr="00A550FE">
          <w:rPr>
            <w:rStyle w:val="Hyperlink"/>
            <w:rFonts w:cstheme="minorHAnsi"/>
          </w:rPr>
          <w:t>“PCB Congener and Factor Analysis Results on the Duwamish River Watershed.”</w:t>
        </w:r>
      </w:hyperlink>
      <w:r w:rsidRPr="00A550FE">
        <w:rPr>
          <w:rFonts w:cstheme="minorHAnsi"/>
        </w:rPr>
        <w:t xml:space="preserve">, LimnoTech presented on preliminary findings of the </w:t>
      </w:r>
      <w:hyperlink r:id="rId29" w:history="1">
        <w:r w:rsidRPr="00A550FE">
          <w:rPr>
            <w:rStyle w:val="Hyperlink"/>
            <w:rFonts w:cstheme="minorHAnsi"/>
          </w:rPr>
          <w:t>homolog specific mass balance analysis of 2014 and 2015 data</w:t>
        </w:r>
      </w:hyperlink>
      <w:r w:rsidRPr="00A550FE">
        <w:rPr>
          <w:rFonts w:cstheme="minorHAnsi"/>
        </w:rPr>
        <w:t xml:space="preserve">, Brian Nickel presented on </w:t>
      </w:r>
      <w:hyperlink r:id="rId30" w:history="1">
        <w:r w:rsidRPr="00A550FE">
          <w:rPr>
            <w:rStyle w:val="Hyperlink"/>
            <w:rFonts w:cstheme="minorHAnsi"/>
          </w:rPr>
          <w:t>EPA PCB Cleanup Sites in the Spokane River Watershed</w:t>
        </w:r>
      </w:hyperlink>
      <w:r w:rsidRPr="00A550FE">
        <w:rPr>
          <w:rFonts w:cstheme="minorHAnsi"/>
        </w:rPr>
        <w:t xml:space="preserve">, Chris Donley presented on their work for Low PCB product purchasing and the </w:t>
      </w:r>
      <w:hyperlink r:id="rId31" w:history="1">
        <w:r w:rsidRPr="00A550FE">
          <w:rPr>
            <w:rStyle w:val="Hyperlink"/>
            <w:rFonts w:cstheme="minorHAnsi"/>
          </w:rPr>
          <w:t xml:space="preserve"> letter that WDFW sent regarding low-PCB purchasing to fish feed vendors</w:t>
        </w:r>
      </w:hyperlink>
      <w:r w:rsidRPr="00A550FE">
        <w:rPr>
          <w:rFonts w:cstheme="minorHAnsi"/>
        </w:rPr>
        <w:t xml:space="preserve"> as a permit requirement, and Mike LaScuola presented on the “</w:t>
      </w:r>
      <w:hyperlink r:id="rId32" w:history="1">
        <w:r w:rsidRPr="00A550FE">
          <w:rPr>
            <w:rStyle w:val="Hyperlink"/>
            <w:rFonts w:cstheme="minorHAnsi"/>
          </w:rPr>
          <w:t>Communications Continuum</w:t>
        </w:r>
      </w:hyperlink>
      <w:r w:rsidRPr="00A550FE">
        <w:rPr>
          <w:rFonts w:cstheme="minorHAnsi"/>
        </w:rPr>
        <w:t>” and “</w:t>
      </w:r>
      <w:hyperlink r:id="rId33" w:history="1">
        <w:r w:rsidRPr="00A550FE">
          <w:rPr>
            <w:rStyle w:val="Hyperlink"/>
            <w:rFonts w:cstheme="minorHAnsi"/>
          </w:rPr>
          <w:t>Social Marketing Campaign Development</w:t>
        </w:r>
      </w:hyperlink>
      <w:r w:rsidRPr="00A550FE">
        <w:rPr>
          <w:rFonts w:cstheme="minorHAnsi"/>
        </w:rPr>
        <w:t>”.</w:t>
      </w:r>
    </w:p>
    <w:p w:rsidR="00166552" w:rsidRPr="00A550FE" w:rsidRDefault="00166552" w:rsidP="00A550FE">
      <w:pPr>
        <w:spacing w:before="120" w:line="240" w:lineRule="auto"/>
        <w:ind w:left="0"/>
        <w:rPr>
          <w:rFonts w:cstheme="minorHAns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Mike Hermanson to coordinate with CDM Smith to prioritize input of data into database. </w:t>
      </w:r>
      <w:r w:rsidRPr="00A550FE">
        <w:rPr>
          <w:rFonts w:cstheme="minorHAnsi"/>
          <w:b/>
        </w:rPr>
        <w:t>ACTION ITEM:</w:t>
      </w:r>
      <w:r w:rsidRPr="00A550FE">
        <w:rPr>
          <w:rFonts w:cstheme="minorHAnsi"/>
        </w:rPr>
        <w:t xml:space="preserve"> Dave Dilks to provide a draft of the Monthly Monitoring Report for Task Force review one week prior to the April Task Force meeting on 4/26/17.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TCP (Sandy and Jeremy) to develop a stepwise process for Comp Plan Task 5.14, Part 3 in coordination with Bud Leber.</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discussed edits to the March 22, 2017 meeting summary and place them on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Doug Krapas to put a letter together on TSCA Reform. The letter to be posted by May 3rd for a decision on a Conference Call meeting on May 10th at 10 am.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Kara Whitman to schedule a conference call for May 10th at 10 am and send out call in information for the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Kara Whitman to contact Andy Dunau about the possibility of the Task Force having a session at the Forum on the Comprehensive Plan. (COMPLETE, Andy has tentatively schedule a session on the second day, after Brandi’s presentation, pending Task Force decision to hold the session).</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March 22, 2017 meeting summary with minor edits as delineated at the meeting (change March to February, add year for any mentions of months).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decided to extend the Ruckelshaus Contract for the FY17-18, pulling out line item nine (public workshop) and specifying that amount as optional, to be determined.</w:t>
      </w:r>
    </w:p>
    <w:p w:rsidR="00166552" w:rsidRPr="00A550FE" w:rsidRDefault="00166552" w:rsidP="00A550FE">
      <w:pPr>
        <w:spacing w:line="240" w:lineRule="auto"/>
        <w:ind w:left="0"/>
        <w:rPr>
          <w:rFonts w:cstheme="minorHAnsi"/>
          <w:b/>
          <w:u w:val="single"/>
        </w:rPr>
      </w:pPr>
    </w:p>
    <w:p w:rsidR="00166552" w:rsidRPr="00A550FE" w:rsidRDefault="00166552" w:rsidP="00A550FE">
      <w:pPr>
        <w:spacing w:line="240" w:lineRule="auto"/>
        <w:ind w:left="0"/>
        <w:rPr>
          <w:rFonts w:cstheme="minorHAnsi"/>
        </w:rPr>
      </w:pPr>
      <w:r w:rsidRPr="00A550FE">
        <w:rPr>
          <w:rFonts w:cstheme="minorHAnsi"/>
          <w:b/>
          <w:u w:val="single"/>
        </w:rPr>
        <w:t>May 2017:</w:t>
      </w:r>
      <w:r w:rsidRPr="00A550FE">
        <w:rPr>
          <w:rFonts w:cstheme="minorHAnsi"/>
        </w:rPr>
        <w:t xml:space="preserve"> The Task Force held four meetings in May (TTWG, TF meeting with Color Pigment Manufacturer’s Association, Special TF conference call, and full TF meeting)</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 xml:space="preserve">Presentations/Discussions (TTWG): </w:t>
      </w:r>
      <w:r w:rsidRPr="00A550FE">
        <w:rPr>
          <w:rFonts w:cstheme="minorHAnsi"/>
        </w:rPr>
        <w:t>LimnoTech presentation on</w:t>
      </w:r>
      <w:r w:rsidRPr="00A550FE">
        <w:rPr>
          <w:rFonts w:cstheme="minorHAnsi"/>
          <w:b/>
        </w:rPr>
        <w:t xml:space="preserve"> </w:t>
      </w:r>
      <w:hyperlink r:id="rId34" w:history="1">
        <w:r w:rsidRPr="00A550FE">
          <w:rPr>
            <w:rStyle w:val="Hyperlink"/>
            <w:rFonts w:cstheme="minorHAnsi"/>
          </w:rPr>
          <w:t>2016 Monthly Sampling and Report on 2016 Technical Activities</w:t>
        </w:r>
      </w:hyperlink>
      <w:r w:rsidRPr="00A550FE">
        <w:rPr>
          <w:rFonts w:cstheme="minorHAnsi"/>
        </w:rPr>
        <w:t xml:space="preserve">, Adriane Borgias provided a brief overview of how to search the EIM database, Mike LaScuola gave a presentation on the </w:t>
      </w:r>
      <w:hyperlink r:id="rId35" w:history="1">
        <w:r w:rsidRPr="00A550FE">
          <w:rPr>
            <w:rStyle w:val="Hyperlink"/>
            <w:rFonts w:cstheme="minorHAnsi"/>
          </w:rPr>
          <w:t>Spokane Industrial Park site hazard assessment</w:t>
        </w:r>
      </w:hyperlink>
      <w:r w:rsidRPr="00A550FE">
        <w:rPr>
          <w:rFonts w:cstheme="minorHAnsi"/>
        </w:rPr>
        <w:t xml:space="preserve"> and cleanup (</w:t>
      </w:r>
      <w:hyperlink r:id="rId36" w:history="1">
        <w:r w:rsidRPr="00A550FE">
          <w:rPr>
            <w:rStyle w:val="Hyperlink"/>
            <w:rFonts w:cstheme="minorHAnsi"/>
          </w:rPr>
          <w:t>Map of site</w:t>
        </w:r>
      </w:hyperlink>
      <w:r w:rsidRPr="00A550FE">
        <w:rPr>
          <w:rFonts w:cstheme="minorHAnsi"/>
        </w:rPr>
        <w:t xml:space="preserve">), Bud Leber presented on </w:t>
      </w:r>
      <w:hyperlink r:id="rId37" w:history="1">
        <w:r w:rsidRPr="00A550FE">
          <w:rPr>
            <w:rStyle w:val="Hyperlink"/>
            <w:rFonts w:cstheme="minorHAnsi"/>
          </w:rPr>
          <w:t>Kaiser’s groundwater treatment pilot project</w:t>
        </w:r>
      </w:hyperlink>
      <w:r w:rsidRPr="00A550FE">
        <w:rPr>
          <w:rFonts w:cstheme="minorHAnsi"/>
        </w:rPr>
        <w:t xml:space="preserve">, and Sandra Treccani and Jeremy Schmidt of Ecology’s TCP provided a </w:t>
      </w:r>
      <w:hyperlink r:id="rId38" w:history="1">
        <w:r w:rsidRPr="00A550FE">
          <w:rPr>
            <w:rStyle w:val="Hyperlink"/>
            <w:rFonts w:cstheme="minorHAnsi"/>
          </w:rPr>
          <w:t>stepwise approach to addressing Comp Plan action 5.14</w:t>
        </w:r>
      </w:hyperlink>
      <w:r w:rsidRPr="00A550FE">
        <w:rPr>
          <w:rFonts w:cstheme="minorHAnsi"/>
        </w:rPr>
        <w:t xml:space="preserve">. </w:t>
      </w:r>
    </w:p>
    <w:p w:rsidR="00166552" w:rsidRPr="00A550FE" w:rsidRDefault="00166552" w:rsidP="00A550FE">
      <w:pPr>
        <w:spacing w:line="240" w:lineRule="auto"/>
        <w:ind w:left="0"/>
        <w:rPr>
          <w:rFonts w:cstheme="minorHAnsi"/>
        </w:rPr>
      </w:pPr>
      <w:r w:rsidRPr="00A550FE">
        <w:rPr>
          <w:rFonts w:cstheme="minorHAnsi"/>
          <w:b/>
        </w:rPr>
        <w:t>Presentations/Discussion (TF/CPMA Meeting):</w:t>
      </w:r>
      <w:r w:rsidRPr="00A550FE">
        <w:rPr>
          <w:rFonts w:cstheme="minorHAnsi"/>
        </w:rPr>
        <w:t xml:space="preserve"> </w:t>
      </w:r>
      <w:hyperlink r:id="rId39" w:history="1">
        <w:r w:rsidRPr="00A550FE">
          <w:rPr>
            <w:rStyle w:val="Hyperlink"/>
            <w:rFonts w:cstheme="minorHAnsi"/>
          </w:rPr>
          <w:t>EPA TSCA Presentation</w:t>
        </w:r>
      </w:hyperlink>
      <w:r w:rsidRPr="00A550FE">
        <w:rPr>
          <w:rFonts w:cstheme="minorHAnsi"/>
        </w:rPr>
        <w:t xml:space="preserve">, </w:t>
      </w:r>
      <w:hyperlink r:id="rId40" w:history="1">
        <w:r w:rsidRPr="00A550FE">
          <w:rPr>
            <w:rStyle w:val="Hyperlink"/>
            <w:rFonts w:cstheme="minorHAnsi"/>
          </w:rPr>
          <w:t>CPMA presentation</w:t>
        </w:r>
      </w:hyperlink>
      <w:r w:rsidRPr="00A550FE">
        <w:rPr>
          <w:rFonts w:cstheme="minorHAnsi"/>
        </w:rPr>
        <w:t xml:space="preserve">, </w:t>
      </w:r>
      <w:hyperlink r:id="rId41" w:history="1">
        <w:r w:rsidRPr="00A550FE">
          <w:rPr>
            <w:rStyle w:val="Hyperlink"/>
            <w:rFonts w:cstheme="minorHAnsi"/>
          </w:rPr>
          <w:t>George R. Fuchs Printing Ink presentation</w:t>
        </w:r>
      </w:hyperlink>
      <w:r w:rsidRPr="00A550FE">
        <w:rPr>
          <w:rFonts w:cstheme="minorHAnsi"/>
        </w:rPr>
        <w:t xml:space="preserve">, and </w:t>
      </w:r>
      <w:hyperlink r:id="rId42" w:history="1">
        <w:r w:rsidRPr="00A550FE">
          <w:rPr>
            <w:rStyle w:val="Hyperlink"/>
            <w:rFonts w:cstheme="minorHAnsi"/>
          </w:rPr>
          <w:t>IEP PCB Presentation</w:t>
        </w:r>
      </w:hyperlink>
      <w:r w:rsidRPr="00A550FE">
        <w:rPr>
          <w:rFonts w:cstheme="minorHAnsi"/>
        </w:rPr>
        <w:t xml:space="preserve">. </w:t>
      </w:r>
    </w:p>
    <w:p w:rsidR="00166552" w:rsidRPr="00A550FE" w:rsidRDefault="00166552" w:rsidP="00A550FE">
      <w:pPr>
        <w:spacing w:line="240" w:lineRule="auto"/>
        <w:ind w:left="0"/>
        <w:rPr>
          <w:rFonts w:cstheme="minorHAnsi"/>
        </w:rPr>
      </w:pPr>
      <w:r w:rsidRPr="00A550FE">
        <w:rPr>
          <w:rFonts w:cstheme="minorHAnsi"/>
          <w:b/>
        </w:rPr>
        <w:t>Presentations/Discussions (TF)</w:t>
      </w:r>
      <w:r w:rsidRPr="00A550FE">
        <w:rPr>
          <w:rFonts w:cstheme="minorHAnsi"/>
        </w:rPr>
        <w:t xml:space="preserve">: CDM Smith issued a </w:t>
      </w:r>
      <w:hyperlink r:id="rId43" w:history="1">
        <w:r w:rsidRPr="00A550FE">
          <w:rPr>
            <w:rStyle w:val="Hyperlink"/>
            <w:rFonts w:cstheme="minorHAnsi"/>
          </w:rPr>
          <w:t>draft memo on the data management pilot project</w:t>
        </w:r>
      </w:hyperlink>
      <w:r w:rsidRPr="00A550FE">
        <w:rPr>
          <w:rFonts w:cstheme="minorHAnsi"/>
        </w:rPr>
        <w:t xml:space="preserve">, Quarterly work group updates included: Green Chemistry, Regulatory Rulemaking (TSCA reform and WSDOT color box), Building demolition and renovation, Waste disposal assistance, and public outreach. The Task Force also discussed the NPDES permit timelines and process, and </w:t>
      </w:r>
      <w:hyperlink r:id="rId44" w:history="1">
        <w:r w:rsidRPr="00A550FE">
          <w:rPr>
            <w:rStyle w:val="Hyperlink"/>
            <w:rFonts w:cstheme="minorHAnsi"/>
          </w:rPr>
          <w:t>legislative funding</w:t>
        </w:r>
      </w:hyperlink>
      <w:r w:rsidRPr="00A550FE">
        <w:rPr>
          <w:rFonts w:cstheme="minorHAnsi"/>
        </w:rPr>
        <w:t xml:space="preserve">. </w:t>
      </w:r>
    </w:p>
    <w:p w:rsidR="00166552" w:rsidRPr="00A550FE" w:rsidRDefault="00166552" w:rsidP="00A550FE">
      <w:pPr>
        <w:spacing w:before="120" w:line="240" w:lineRule="auto"/>
        <w:ind w:left="0"/>
        <w:rPr>
          <w:rFonts w:cstheme="minorHAnsi"/>
          <w:b/>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Doug Krapas drafted a letter to EPA regarding Docket ID No. EPA-HQOA-2017-0190-TSCA Inadvertent PCB Allowance Discrepancy with Water Quality Standards. The Ruckelshaus made edits as discussed at the TTWG meeting and sent it out to the full Task Force for review and decision at the Special Task Force conference call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Task Force Meeting to be held on May 10 at 10am by phone. “Can you live with it?” TTWG has already reviewed and provided their edits/feedback.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Adriane Borgias to send link to where the Task Force letter in response to EPA Docket ID No. EPA-HQOA-2017-0190-TSCA document should be submitted.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Final version of the Task Force response letter on Docket ID No. EPA-HQOA-2017-0190-TSCA Inadvertent PCB Allowance Discrepancy with Water Quality Standards, if agreed upon at May 10th meeting, to go to EPA by Ruckelshaus Center on behalf of the Task Force. (COMPLETE, submitted 5/11/17 online, and submitted hard copy via mail)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LimnoTech Report on 2016 Monthly Sampling ready for potential approval at May 31st Task Force meeting. Pre-final draft out by May 4th (comments by May 17th); more formal draft to be posted by May 24th for decision at May 31st meeting.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to add long term status monitoring as an agenda item to talk about at the June 2017 TTWG meeting.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finalize and upload approved meeting notes to SRRTTF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Task Force participants to send comments/revisions on notes from 4/26/17 Task Force/EPA meeting to Adriane Borgias.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Data Management Work group to meet to review the technical memo provided by CDM Smith for database task 1&amp;2 (PCB Data Compatibility/Database Functionality Review) and provide recommendations for the next steps to the Task Force. Report draft to be sent to Ruckelshaus Center for posting by June 21st, 2017 for a decision at the June 28th, 2017 Task Force meeting.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Data Management Work Group to invite CDM Smith to attend and present at the June 28th, 2017 Task Force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Regulatory Reform/TSCA Work Group to meet via conference call to determine next steps. (COMPLETE)</w:t>
      </w:r>
    </w:p>
    <w:p w:rsidR="00166552" w:rsidRPr="00A550FE" w:rsidRDefault="00166552" w:rsidP="00A550FE">
      <w:pPr>
        <w:spacing w:line="240" w:lineRule="auto"/>
        <w:ind w:left="0"/>
        <w:rPr>
          <w:rFonts w:cstheme="minorHAnsi"/>
        </w:rPr>
      </w:pPr>
      <w:r w:rsidRPr="00A550FE">
        <w:rPr>
          <w:rFonts w:cstheme="minorHAnsi"/>
        </w:rPr>
        <w:t>Public Outreach: The outreach group will meet on June 7th, 2017 to develop messaging for the online outreach clearinghouse.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PCB Control Action Implementation Spreadsheet: Ecology has offered to maintain the spreadsheet as part of its tracking of “Measurable Progress,” including acting as liaison with Control Action work groups.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Adriane Borgias to provide a list of actions that she is working on that need to be completed (i.e. picked up by another Task Force member or Ecology representative). (COMPLETE)</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w:t>
      </w:r>
      <w:hyperlink r:id="rId45" w:history="1">
        <w:r w:rsidRPr="00A550FE">
          <w:rPr>
            <w:rStyle w:val="Hyperlink"/>
            <w:rFonts w:cstheme="minorHAnsi"/>
          </w:rPr>
          <w:t>the letter on Docket ID No. EPA-HQOA-2017-0190-TSCA Inadvertent PCB Allowance Discrepancy with Water Quality Standards</w:t>
        </w:r>
      </w:hyperlink>
      <w:r w:rsidRPr="00A550FE">
        <w:rPr>
          <w:rFonts w:cstheme="minorHAnsi"/>
        </w:rPr>
        <w:t xml:space="preserve"> with the edits discussed at the meeting.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April 26th, 2017 and May 10th, 2017 meeting notes (with minor edits).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w:t>
      </w:r>
      <w:hyperlink r:id="rId46" w:history="1">
        <w:r w:rsidRPr="00A550FE">
          <w:rPr>
            <w:rStyle w:val="Hyperlink"/>
            <w:rFonts w:cstheme="minorHAnsi"/>
          </w:rPr>
          <w:t xml:space="preserve"> 2016 Monthly Monitoring Report</w:t>
        </w:r>
      </w:hyperlink>
      <w:r w:rsidRPr="00A550FE">
        <w:rPr>
          <w:rFonts w:cstheme="minorHAnsi"/>
        </w:rPr>
        <w:t xml:space="preserve"> as final. </w:t>
      </w:r>
    </w:p>
    <w:p w:rsidR="00166552" w:rsidRPr="00A550FE" w:rsidRDefault="00166552" w:rsidP="00A550FE">
      <w:pPr>
        <w:spacing w:line="240" w:lineRule="auto"/>
        <w:ind w:left="0"/>
        <w:rPr>
          <w:rFonts w:cstheme="minorHAnsi"/>
        </w:rPr>
      </w:pPr>
    </w:p>
    <w:p w:rsidR="00166552" w:rsidRPr="00A550FE" w:rsidRDefault="00166552" w:rsidP="00A550FE">
      <w:pPr>
        <w:spacing w:line="240" w:lineRule="auto"/>
        <w:ind w:left="0"/>
        <w:rPr>
          <w:rFonts w:cstheme="minorHAnsi"/>
        </w:rPr>
      </w:pPr>
      <w:r w:rsidRPr="00A550FE">
        <w:rPr>
          <w:rFonts w:cstheme="minorHAnsi"/>
          <w:b/>
          <w:u w:val="single"/>
        </w:rPr>
        <w:t>June 2017:</w:t>
      </w:r>
      <w:r w:rsidRPr="00A550FE">
        <w:rPr>
          <w:rFonts w:cstheme="minorHAnsi"/>
          <w:b/>
        </w:rPr>
        <w:t xml:space="preserve"> </w:t>
      </w:r>
      <w:r w:rsidRPr="00A550FE">
        <w:rPr>
          <w:rFonts w:cstheme="minorHAnsi"/>
        </w:rPr>
        <w:t>The Task Force held three meetings in June (TTWG, TF, and E&amp;O)</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Presentations/Discussions (TF):</w:t>
      </w:r>
      <w:r w:rsidRPr="00A550FE">
        <w:rPr>
          <w:rFonts w:cstheme="minorHAnsi"/>
        </w:rPr>
        <w:t xml:space="preserve"> Lucy Edmonson discussed some of the comments from the meeting summary of the EPA Task Force meeting that happened on April 26, 2017, LimnoTech presented on the </w:t>
      </w:r>
      <w:hyperlink r:id="rId47" w:history="1">
        <w:r w:rsidRPr="00A550FE">
          <w:rPr>
            <w:rStyle w:val="Hyperlink"/>
            <w:rFonts w:cstheme="minorHAnsi"/>
          </w:rPr>
          <w:t>homolog specific mass balance analysis and future monitoring in support of the Comprehensive Plan</w:t>
        </w:r>
      </w:hyperlink>
      <w:r w:rsidRPr="00A550FE">
        <w:rPr>
          <w:rFonts w:cstheme="minorHAnsi"/>
        </w:rPr>
        <w:t xml:space="preserve">, Rachael McCrea of Ecology summarized the </w:t>
      </w:r>
      <w:hyperlink r:id="rId48" w:history="1">
        <w:r w:rsidRPr="00A550FE">
          <w:rPr>
            <w:rStyle w:val="Hyperlink"/>
            <w:rFonts w:cstheme="minorHAnsi"/>
          </w:rPr>
          <w:t>PCB-related work going on in the Green/Duwamish River</w:t>
        </w:r>
      </w:hyperlink>
      <w:r w:rsidRPr="00A550FE">
        <w:rPr>
          <w:rFonts w:cstheme="minorHAnsi"/>
        </w:rPr>
        <w:t xml:space="preserve"> that would be available for further presentations to the Task force down the road, and the Education and Outreach work group presented a </w:t>
      </w:r>
      <w:hyperlink r:id="rId49" w:history="1">
        <w:r w:rsidRPr="00A550FE">
          <w:rPr>
            <w:rStyle w:val="Hyperlink"/>
            <w:rFonts w:cstheme="minorHAnsi"/>
          </w:rPr>
          <w:t>proposal for a PCB outreach website</w:t>
        </w:r>
      </w:hyperlink>
      <w:r w:rsidRPr="00A550FE">
        <w:rPr>
          <w:rFonts w:cstheme="minorHAnsi"/>
        </w:rPr>
        <w:t xml:space="preserve">.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Karin Baldwin to coordinate with CDM on the recommendations from the TTWG. Mike Hermanson and Rob Lindsay to set up a meeting with CDM Smith to discuss the memo and invite TTWG. Proposal to move the Tech Track meeting to the 12th, have CDM Smith attend via conference call if the Task Force feels it would be useful.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to send email requesting Task Force submit comments/questions to Mike Hermanson and Rob Lindsay by June 16th on CDM Memo and send EIM template to CDM for Export function.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move July TTWG meeting to 7/12/17 and lengthen to three hours (9:30 to 12:30).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Brandee Era-Miller to check on EAP staff availability for November 13th, 2017.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Rob Lindsay to check with Andy Dunau on scheduling a room on Monday at the          Coeur d’Alene Resort prior to the River Forum conference.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to contact Spokane County Water Resource Center to change Task Force meeting from November 15th to November 29th. (COMPLETE, November 29th scheduled)</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Jerry White to confirm with Rick Eichstaedt that Riverkeeper will present the information on an amicus brief they are involved in at the next Task Force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Don Keil to email the Ruckelshaus Center confirming that Mike Anderson will serve as the primary representative and Don Keil will be the alternate.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minor edits to the May 31</w:t>
      </w:r>
      <w:r w:rsidRPr="00A550FE">
        <w:rPr>
          <w:rFonts w:cstheme="minorHAnsi"/>
          <w:vertAlign w:val="superscript"/>
        </w:rPr>
        <w:t>st</w:t>
      </w:r>
      <w:r w:rsidRPr="00A550FE">
        <w:rPr>
          <w:rFonts w:cstheme="minorHAnsi"/>
        </w:rPr>
        <w:t>, 2017 meeting notes and post them to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minor edits to the EPA/TF TSCA meeting notes and post the summary as final on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Dave Dilks to provide a list of monitoring options, their objectives, and associated costs for discussion at the July 12th 2017 TTWG meeting.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Brandee Era-Miller, Karin Baldwin, and Adriane Borgias are to provide info on whatever Ecology monitoring options are possible (in 2018 and beyond), for discussion at the July 2017 Task Force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Task Force/TTWG group to prioritize topics and follow-up questions that Rachel McCrae or other Duwamish representative could present on in depth.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Chris Page to work with Rachel to schedule presentations as the SRRTTF prioritizes them. (IN PROGRESS)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CDM Smith Technical Memo for Task 1&amp;2 to be posted for a decision at the July 26th Task Force meeting. Task Force members to send questions for CDM Smith before the July Task Force meeting, or bring them to that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Rob Lindsay to coordinate with Andy Dunau on potentially having Brandee Era-Miller present the three completed studies at the Forum (rather than at a separate Task Force meeting).</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Outreach Workgroup to confer on the top couple/three urls that could be purchased for a website. (COMPLETE)</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May 31</w:t>
      </w:r>
      <w:r w:rsidRPr="00A550FE">
        <w:rPr>
          <w:rFonts w:cstheme="minorHAnsi"/>
          <w:vertAlign w:val="superscript"/>
        </w:rPr>
        <w:t>st</w:t>
      </w:r>
      <w:r w:rsidRPr="00A550FE">
        <w:rPr>
          <w:rFonts w:cstheme="minorHAnsi"/>
        </w:rPr>
        <w:t xml:space="preserve">, 2017 meeting summary notes accepted with minor revisions as noted at meeting.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4/26/17 EPA – Task Force meeting notes were accepted with minor grammatical edits.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meeting will stay on the 26th, with Kara Whitman facilitating and another Ruckelshaus Center person (Shane Carnohan) to fill in as note taker.</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Task Force Meeting to be scheduled for the 29th of November. (Kara to check room schedule) (COMPLETE)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concept of the website and the outreach workgroup moving forward with the proposal. </w:t>
      </w:r>
    </w:p>
    <w:p w:rsidR="00166552" w:rsidRPr="00A550FE" w:rsidRDefault="00166552" w:rsidP="00A550FE">
      <w:pPr>
        <w:spacing w:line="240" w:lineRule="auto"/>
        <w:ind w:left="0"/>
        <w:rPr>
          <w:rFonts w:cstheme="minorHAnsi"/>
        </w:rPr>
      </w:pPr>
    </w:p>
    <w:p w:rsidR="00166552" w:rsidRPr="00A550FE" w:rsidRDefault="00166552" w:rsidP="00A550FE">
      <w:pPr>
        <w:spacing w:line="240" w:lineRule="auto"/>
        <w:ind w:left="0"/>
        <w:rPr>
          <w:rFonts w:cstheme="minorHAnsi"/>
        </w:rPr>
      </w:pPr>
      <w:r w:rsidRPr="00A550FE">
        <w:rPr>
          <w:rFonts w:cstheme="minorHAnsi"/>
          <w:b/>
          <w:u w:val="single"/>
        </w:rPr>
        <w:t>July 2017:</w:t>
      </w:r>
      <w:r w:rsidRPr="00A550FE">
        <w:rPr>
          <w:rFonts w:cstheme="minorHAnsi"/>
          <w:b/>
        </w:rPr>
        <w:t xml:space="preserve"> </w:t>
      </w:r>
      <w:r w:rsidRPr="00A550FE">
        <w:rPr>
          <w:rFonts w:cstheme="minorHAnsi"/>
        </w:rPr>
        <w:t xml:space="preserve">The Task Force held two meetings in July (TTWG and TF)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Email/TF website informational Posts:</w:t>
      </w:r>
      <w:hyperlink r:id="rId50" w:history="1">
        <w:r w:rsidRPr="00A550FE">
          <w:rPr>
            <w:rStyle w:val="Hyperlink"/>
            <w:rFonts w:cstheme="minorHAnsi"/>
          </w:rPr>
          <w:t xml:space="preserve"> Limnotech’s “draft: Homolog Specific PCB Mass Balance for the Spokane River” available for review</w:t>
        </w:r>
      </w:hyperlink>
      <w:r w:rsidRPr="00A550FE">
        <w:rPr>
          <w:rFonts w:cstheme="minorHAnsi"/>
        </w:rPr>
        <w:t xml:space="preserve">, </w:t>
      </w:r>
      <w:hyperlink r:id="rId51" w:history="1">
        <w:r w:rsidRPr="00A550FE">
          <w:rPr>
            <w:rStyle w:val="Hyperlink"/>
            <w:rFonts w:cstheme="minorHAnsi"/>
          </w:rPr>
          <w:t>Ecology News: Public Participation Grants Application Open</w:t>
        </w:r>
      </w:hyperlink>
      <w:r w:rsidRPr="00A550FE">
        <w:rPr>
          <w:rFonts w:cstheme="minorHAnsi"/>
        </w:rPr>
        <w:t xml:space="preserve">, </w:t>
      </w:r>
      <w:hyperlink r:id="rId52" w:history="1">
        <w:r w:rsidRPr="00A550FE">
          <w:rPr>
            <w:rStyle w:val="Hyperlink"/>
            <w:rFonts w:cstheme="minorHAnsi"/>
          </w:rPr>
          <w:t>EPA to hold five public meetings in Idaho focusing on IDEQ seeking water quality permitting program</w:t>
        </w:r>
      </w:hyperlink>
      <w:r w:rsidRPr="00A550FE">
        <w:rPr>
          <w:rFonts w:cstheme="minorHAnsi"/>
        </w:rPr>
        <w:t xml:space="preserve">, </w:t>
      </w:r>
      <w:hyperlink r:id="rId53" w:history="1">
        <w:r w:rsidRPr="00A550FE">
          <w:rPr>
            <w:rStyle w:val="Hyperlink"/>
            <w:rFonts w:cstheme="minorHAnsi"/>
          </w:rPr>
          <w:t>Ecology UPDATE: Solid Waste Handling Rules</w:t>
        </w:r>
      </w:hyperlink>
      <w:r w:rsidRPr="00A550FE">
        <w:rPr>
          <w:rFonts w:cstheme="minorHAnsi"/>
        </w:rPr>
        <w:t xml:space="preserve">, </w:t>
      </w:r>
      <w:hyperlink r:id="rId54" w:history="1">
        <w:r w:rsidRPr="00A550FE">
          <w:rPr>
            <w:rStyle w:val="Hyperlink"/>
            <w:rFonts w:cstheme="minorHAnsi"/>
          </w:rPr>
          <w:t>ECOLOGY News: State Fiscal Year 2017 (SFY17) Draft Funding Offer List and Intended Use Plan (Draft List) for public review and comment</w:t>
        </w:r>
      </w:hyperlink>
      <w:r w:rsidRPr="00A550FE">
        <w:rPr>
          <w:rFonts w:cstheme="minorHAnsi"/>
        </w:rPr>
        <w:t xml:space="preserve">, </w:t>
      </w:r>
      <w:hyperlink r:id="rId55" w:history="1">
        <w:r w:rsidRPr="00A550FE">
          <w:rPr>
            <w:rStyle w:val="Hyperlink"/>
            <w:rFonts w:cstheme="minorHAnsi"/>
          </w:rPr>
          <w:t>CDM Smith Technical Memo: Feedback requested by June 16, 2017</w:t>
        </w:r>
      </w:hyperlink>
      <w:r w:rsidRPr="00A550FE">
        <w:rPr>
          <w:rFonts w:cstheme="minorHAnsi"/>
        </w:rPr>
        <w:t xml:space="preserve">, </w:t>
      </w:r>
      <w:hyperlink r:id="rId56" w:history="1">
        <w:r w:rsidRPr="00A550FE">
          <w:rPr>
            <w:rStyle w:val="Hyperlink"/>
            <w:rFonts w:cstheme="minorHAnsi"/>
          </w:rPr>
          <w:t>EPA NEWS: FY 2017 Grant Announcement: FY 2017 Source Reduction Assistance Grant Program</w:t>
        </w:r>
      </w:hyperlink>
      <w:r w:rsidRPr="00A550FE">
        <w:rPr>
          <w:rFonts w:cstheme="minorHAnsi"/>
        </w:rPr>
        <w:t xml:space="preserve">, and </w:t>
      </w:r>
      <w:hyperlink r:id="rId57" w:history="1">
        <w:r w:rsidRPr="00A550FE">
          <w:rPr>
            <w:rStyle w:val="Hyperlink"/>
            <w:rFonts w:cstheme="minorHAnsi"/>
          </w:rPr>
          <w:t>Ecology News: Coastal Protection Fund (CPF) – Terry Husseman Account (THA) Grants</w:t>
        </w:r>
      </w:hyperlink>
      <w:r w:rsidRPr="00A550FE">
        <w:rPr>
          <w:rFonts w:cstheme="minorHAnsi"/>
        </w:rPr>
        <w:t>.</w:t>
      </w:r>
    </w:p>
    <w:p w:rsidR="00166552" w:rsidRPr="00A550FE" w:rsidRDefault="00166552" w:rsidP="00A550FE">
      <w:pPr>
        <w:spacing w:line="240" w:lineRule="auto"/>
        <w:ind w:left="0"/>
        <w:rPr>
          <w:rFonts w:cstheme="minorHAnsi"/>
        </w:rPr>
      </w:pPr>
      <w:r w:rsidRPr="00A550FE">
        <w:rPr>
          <w:rFonts w:cstheme="minorHAnsi"/>
          <w:b/>
        </w:rPr>
        <w:t xml:space="preserve">Presentations/Discussions (TTWG): </w:t>
      </w:r>
      <w:r w:rsidRPr="00A550FE">
        <w:rPr>
          <w:rFonts w:cstheme="minorHAnsi"/>
        </w:rPr>
        <w:t xml:space="preserve">The TTWG discussed and </w:t>
      </w:r>
      <w:hyperlink r:id="rId58" w:history="1">
        <w:r w:rsidRPr="00A550FE">
          <w:rPr>
            <w:rStyle w:val="Hyperlink"/>
            <w:rFonts w:cstheme="minorHAnsi"/>
          </w:rPr>
          <w:t>prioritized the Duwamish River PCB Cleanup topics</w:t>
        </w:r>
      </w:hyperlink>
      <w:r w:rsidRPr="00A550FE">
        <w:rPr>
          <w:rFonts w:cstheme="minorHAnsi"/>
        </w:rPr>
        <w:t xml:space="preserve"> for further discussion at the Task Force meeting, and LimnoTech presented on </w:t>
      </w:r>
      <w:hyperlink r:id="rId59" w:history="1">
        <w:r w:rsidRPr="00A550FE">
          <w:rPr>
            <w:rStyle w:val="Hyperlink"/>
            <w:rFonts w:cstheme="minorHAnsi"/>
          </w:rPr>
          <w:t>Future Monitoring in Support of the Comprehensive Plan: Costs for Various Options</w:t>
        </w:r>
      </w:hyperlink>
      <w:r w:rsidRPr="00A550FE">
        <w:rPr>
          <w:rFonts w:cstheme="minorHAnsi"/>
        </w:rPr>
        <w:t xml:space="preserve">. </w:t>
      </w:r>
    </w:p>
    <w:p w:rsidR="00166552" w:rsidRPr="00A550FE" w:rsidRDefault="00166552" w:rsidP="00A550FE">
      <w:pPr>
        <w:spacing w:line="240" w:lineRule="auto"/>
        <w:ind w:left="0"/>
        <w:rPr>
          <w:rFonts w:cstheme="minorHAnsi"/>
        </w:rPr>
      </w:pPr>
      <w:r w:rsidRPr="00A550FE">
        <w:rPr>
          <w:rFonts w:cstheme="minorHAnsi"/>
          <w:b/>
        </w:rPr>
        <w:t xml:space="preserve">Presentations/Discussions (TF): </w:t>
      </w:r>
      <w:r w:rsidRPr="00A550FE">
        <w:rPr>
          <w:rFonts w:cstheme="minorHAnsi"/>
        </w:rPr>
        <w:t xml:space="preserve">Dave Dilks presented </w:t>
      </w:r>
      <w:hyperlink r:id="rId60" w:history="1">
        <w:r w:rsidRPr="00A550FE">
          <w:rPr>
            <w:rStyle w:val="Hyperlink"/>
            <w:rFonts w:cstheme="minorHAnsi"/>
          </w:rPr>
          <w:t>the Homolog-specific mass balance memo draft</w:t>
        </w:r>
      </w:hyperlink>
      <w:r w:rsidRPr="00A550FE">
        <w:rPr>
          <w:rFonts w:cstheme="minorHAnsi"/>
        </w:rPr>
        <w:t xml:space="preserve"> and the </w:t>
      </w:r>
      <w:hyperlink r:id="rId61" w:history="1">
        <w:r w:rsidRPr="00A550FE">
          <w:rPr>
            <w:rStyle w:val="Hyperlink"/>
            <w:rFonts w:cstheme="minorHAnsi"/>
          </w:rPr>
          <w:t>comments received</w:t>
        </w:r>
      </w:hyperlink>
      <w:r w:rsidRPr="00A550FE">
        <w:rPr>
          <w:rFonts w:cstheme="minorHAnsi"/>
        </w:rPr>
        <w:t xml:space="preserve">, CDM Smith presented the prototype </w:t>
      </w:r>
      <w:hyperlink r:id="rId62" w:history="1">
        <w:r w:rsidRPr="00A550FE">
          <w:rPr>
            <w:rStyle w:val="Hyperlink"/>
            <w:rFonts w:cstheme="minorHAnsi"/>
          </w:rPr>
          <w:t>Task Force PCB database</w:t>
        </w:r>
      </w:hyperlink>
      <w:r w:rsidRPr="00A550FE">
        <w:rPr>
          <w:rFonts w:cstheme="minorHAnsi"/>
        </w:rPr>
        <w:t xml:space="preserve">,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Spokane River Stewardship Partnership (SRSP) to draft a “strawman” to begin the conversation at the work session. (COMPLETE)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TTWG to have a monitoring work session at August 2nd meeting. Develop a strategy to move forward (to bring to the Task Force). This will be an iterative process over the next months. Try to get Chris Donley and Brandee Era-Miller to 8/2 TTWG meeting and invite Task Force members (announce at 7/26/17 Task Force meeting. Determine next steps at work session.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Dave Dilks to put together a by-location list of values from previous studies, to help the group think through the temporal and spatial options.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SRSP to put together a list of planned treatment upgrades and their expected load reductions. </w:t>
      </w:r>
      <w:r w:rsidRPr="00A550FE">
        <w:rPr>
          <w:rFonts w:cstheme="minorHAnsi"/>
          <w:highlight w:val="yellow"/>
        </w:rPr>
        <w:t>(COMPLETE? Needs follow-up)</w:t>
      </w:r>
    </w:p>
    <w:p w:rsidR="00166552" w:rsidRPr="00A550FE" w:rsidRDefault="00166552" w:rsidP="00A550FE">
      <w:pPr>
        <w:spacing w:line="240" w:lineRule="auto"/>
        <w:ind w:left="0"/>
        <w:rPr>
          <w:rFonts w:cstheme="minorHAnsi"/>
          <w:color w:val="4F81BD" w:themeColor="accent1"/>
        </w:rPr>
      </w:pPr>
      <w:r w:rsidRPr="00A550FE">
        <w:rPr>
          <w:rFonts w:cstheme="minorHAnsi"/>
          <w:b/>
        </w:rPr>
        <w:t>ACTION ITEM:</w:t>
      </w:r>
      <w:r w:rsidRPr="00A550FE">
        <w:rPr>
          <w:rFonts w:cstheme="minorHAnsi"/>
        </w:rPr>
        <w:t xml:space="preserve"> Kara Whitman to add questions from the TTWG for each requested topic from the Duwamish, send to TTWG group to edit the questions, then provide to the Task Force. Any topics that will inform long term monitoring should be front-loaded in the sequence of presentations.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The August 2017 TTWG meeting to be a work session, extended to go from 9:30 to 12:30.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finalize and post 6/28/17 meeting summary to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Task Force to hold a “budget summit” to broaden discussion, develop ideas for budget allocations, identify options, allow people to think about it, and develop a timeline. This discussion will continue at the ACE meeting and beyond, since the group agreed a “budget summit” makes sense.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Task Force members in Washington state contact their legislators about the 2017 capital budget, which has not passed.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The TTWG to discuss difference between 1668-A and C. Bud Leber to follow up with AXYS. (COMPLETED)</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CDM Smith to send Mike Hermanson an excel spreadsheet that includes necessary columns (Electronic Data Deliverable format), so each data owner can request specific data from AXYS. (</w:t>
      </w:r>
      <w:r w:rsidR="004F6DBF">
        <w:rPr>
          <w:rFonts w:cstheme="minorHAnsi"/>
        </w:rPr>
        <w:t>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CDM Smith to present the database via webinar at the September 6 th, 2017 TTWG meeting. Ruckelshaus Center to coordinate with CDM Smith for the webinar, Karin Baldwin to set up webinar access for the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Ruckelshaus Center to confer with Rachel McCrae on the questions the Task Force has on each topic and work to identify the appropriate presenter for the identified/prioritized topics. (IN PROGRESS)</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SRRTTF approved the June 28th, 2017 meeting summary. </w:t>
      </w:r>
    </w:p>
    <w:p w:rsidR="00166552" w:rsidRPr="00A550FE" w:rsidRDefault="00166552" w:rsidP="00A550FE">
      <w:pPr>
        <w:spacing w:line="240" w:lineRule="auto"/>
        <w:ind w:left="0"/>
        <w:rPr>
          <w:rFonts w:cstheme="minorHAnsi"/>
          <w:b/>
          <w:u w:val="single"/>
        </w:rPr>
      </w:pPr>
    </w:p>
    <w:p w:rsidR="00166552" w:rsidRPr="00A550FE" w:rsidRDefault="00166552" w:rsidP="00A550FE">
      <w:pPr>
        <w:spacing w:line="240" w:lineRule="auto"/>
        <w:ind w:left="0"/>
        <w:rPr>
          <w:rFonts w:cstheme="minorHAnsi"/>
          <w:b/>
          <w:u w:val="single"/>
        </w:rPr>
      </w:pPr>
      <w:r w:rsidRPr="00A550FE">
        <w:rPr>
          <w:rFonts w:cstheme="minorHAnsi"/>
          <w:b/>
          <w:u w:val="single"/>
        </w:rPr>
        <w:t>August 2017:</w:t>
      </w:r>
      <w:r w:rsidRPr="00A550FE">
        <w:rPr>
          <w:rFonts w:cstheme="minorHAnsi"/>
          <w:b/>
        </w:rPr>
        <w:t xml:space="preserve"> </w:t>
      </w:r>
      <w:r w:rsidRPr="00A550FE">
        <w:rPr>
          <w:rFonts w:cstheme="minorHAnsi"/>
        </w:rPr>
        <w:t>The Task Force held three meetings in August 2017 (ACE, TTWG, TF)</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 xml:space="preserve">Presentations/Discussions (TTWG): </w:t>
      </w:r>
      <w:hyperlink r:id="rId63" w:history="1">
        <w:r w:rsidRPr="00A550FE">
          <w:rPr>
            <w:rStyle w:val="Hyperlink"/>
            <w:rFonts w:cstheme="minorHAnsi"/>
          </w:rPr>
          <w:t>Sarah Hubbard Gray and the SRSP pulled together a “straw man” outline for long term PCB monitoring</w:t>
        </w:r>
      </w:hyperlink>
      <w:r w:rsidRPr="00A550FE">
        <w:rPr>
          <w:rFonts w:cstheme="minorHAnsi"/>
        </w:rPr>
        <w:t xml:space="preserve"> to begin the dialogue</w:t>
      </w:r>
      <w:r w:rsidRPr="00A550FE">
        <w:rPr>
          <w:rFonts w:cstheme="minorHAnsi"/>
          <w:b/>
        </w:rPr>
        <w:t xml:space="preserve">. </w:t>
      </w:r>
    </w:p>
    <w:p w:rsidR="00166552" w:rsidRPr="00A550FE" w:rsidRDefault="00166552" w:rsidP="00A550FE">
      <w:pPr>
        <w:spacing w:line="240" w:lineRule="auto"/>
        <w:ind w:left="0"/>
        <w:rPr>
          <w:rFonts w:cstheme="minorHAnsi"/>
        </w:rPr>
      </w:pPr>
      <w:r w:rsidRPr="00A550FE">
        <w:rPr>
          <w:rFonts w:cstheme="minorHAnsi"/>
          <w:b/>
        </w:rPr>
        <w:t xml:space="preserve">Presentations/Discussions (TF): </w:t>
      </w:r>
      <w:r w:rsidRPr="00A550FE">
        <w:rPr>
          <w:rFonts w:cstheme="minorHAnsi"/>
        </w:rPr>
        <w:t xml:space="preserve">The Task Force discussed data gathering for CDM Smith, the Task Force potential </w:t>
      </w:r>
      <w:hyperlink r:id="rId64" w:history="1">
        <w:r w:rsidRPr="00A550FE">
          <w:rPr>
            <w:rStyle w:val="Hyperlink"/>
            <w:rFonts w:cstheme="minorHAnsi"/>
          </w:rPr>
          <w:t>Long term monitoring approach</w:t>
        </w:r>
      </w:hyperlink>
      <w:r w:rsidRPr="00A550FE">
        <w:rPr>
          <w:rFonts w:cstheme="minorHAnsi"/>
        </w:rPr>
        <w:t xml:space="preserve">, Ecology’s Central Tendency study to address what EPA had outlined in their memo to the court, and a LimnoTech discussed a proposed analysis </w:t>
      </w:r>
      <w:hyperlink r:id="rId65" w:history="1">
        <w:r w:rsidRPr="00A550FE">
          <w:rPr>
            <w:rStyle w:val="Hyperlink"/>
            <w:rFonts w:cstheme="minorHAnsi"/>
          </w:rPr>
          <w:t>of fish and water column data using existing data</w:t>
        </w:r>
      </w:hyperlink>
      <w:r w:rsidRPr="00A550FE">
        <w:rPr>
          <w:rFonts w:cstheme="minorHAnsi"/>
        </w:rPr>
        <w:t xml:space="preserve">. Karin Baldwin also gave a presentation </w:t>
      </w:r>
      <w:hyperlink r:id="rId66" w:history="1">
        <w:r w:rsidRPr="00A550FE">
          <w:rPr>
            <w:rStyle w:val="Hyperlink"/>
            <w:rFonts w:cstheme="minorHAnsi"/>
          </w:rPr>
          <w:t>potential PCB Control Actions, based on the Comp Plan,  to fulfill State Budget Allocation Requirements</w:t>
        </w:r>
      </w:hyperlink>
      <w:r w:rsidRPr="00A550FE">
        <w:rPr>
          <w:rFonts w:cstheme="minorHAnsi"/>
        </w:rPr>
        <w:t xml:space="preserve">, and Mike LaScuola gave a </w:t>
      </w:r>
      <w:hyperlink r:id="rId67" w:history="1">
        <w:r w:rsidRPr="00A550FE">
          <w:rPr>
            <w:rStyle w:val="Hyperlink"/>
            <w:rFonts w:cstheme="minorHAnsi"/>
          </w:rPr>
          <w:t>presentation on the Spokane Regional Health Districts interactive PCB house</w:t>
        </w:r>
      </w:hyperlink>
      <w:r w:rsidRPr="00A550FE">
        <w:rPr>
          <w:rFonts w:cstheme="minorHAnsi"/>
        </w:rPr>
        <w:t xml:space="preserve">.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edits to the July 26</w:t>
      </w:r>
      <w:r w:rsidRPr="00A550FE">
        <w:rPr>
          <w:rFonts w:cstheme="minorHAnsi"/>
          <w:vertAlign w:val="superscript"/>
        </w:rPr>
        <w:t>th</w:t>
      </w:r>
      <w:r w:rsidRPr="00A550FE">
        <w:rPr>
          <w:rFonts w:cstheme="minorHAnsi"/>
        </w:rPr>
        <w:t>, 2017 Task Force notes and post them as final notes to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Mike Hermanson to schedule a meeting with data-owning folks about the Electronic Data Deliverable (EDD) template to discuss how chain of custody, location information, etc. will be addressed in the database/reporting.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TTWG to consider this issue of a central tendency study at the Sept. 6, 2017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TTWG to consider the proposed study with the long-term monitoring plan at 9/6/17 meeting. (COMPLETE)</w:t>
      </w:r>
    </w:p>
    <w:p w:rsidR="00166552" w:rsidRPr="00A550FE" w:rsidRDefault="00166552" w:rsidP="00A550FE">
      <w:pPr>
        <w:spacing w:line="240" w:lineRule="auto"/>
        <w:ind w:left="0"/>
        <w:rPr>
          <w:rFonts w:cstheme="minorHAnsi"/>
          <w:b/>
          <w:highlight w:val="yellow"/>
        </w:rPr>
      </w:pPr>
      <w:r w:rsidRPr="00A550FE">
        <w:rPr>
          <w:rFonts w:cstheme="minorHAnsi"/>
          <w:b/>
        </w:rPr>
        <w:t>ACTION ITEMS:</w:t>
      </w:r>
      <w:r w:rsidRPr="00A550FE">
        <w:rPr>
          <w:rFonts w:cstheme="minorHAnsi"/>
        </w:rPr>
        <w:t xml:space="preserve"> Mike LaScuola provide web traffic numbers for a sample Health District web page; Mike also to request FDA conduct market basket PCB study.</w:t>
      </w:r>
      <w:r w:rsidR="004F6DBF" w:rsidRPr="00A550FE">
        <w:rPr>
          <w:rFonts w:cstheme="minorHAnsi"/>
        </w:rPr>
        <w:t xml:space="preserve"> (COMPLETE)</w:t>
      </w:r>
      <w:bookmarkStart w:id="1" w:name="_GoBack"/>
      <w:bookmarkEnd w:id="1"/>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Karin Baldwin will check the status of groundwater study Ted Hamlin was working on before retiring. (COMPLETE: this data went to LimnoTech and the County. The County (Mike Hermanson) was going to write the report (jointly with Ecology) and include it in that report.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Lucy Edmondson to follow up with Sara Reese about the Task Force letter to EPA in May and on the status of the PCB 11 toxicity screening.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Karin Baldwin to convene Green Chemistry work group (Doug Greenland, Mike Petersen, Saskia Vanbergen, Kara Whitman, and include Michelle Mullin from EPA).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Jim Ross to send the final report on the demolition study (when complete) and the data to Ruckelshaus Center for Task Force distribution.</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Rob Lindsay, Karin Baldwin, Jerry White (or other environmental representative) volunteered to form a panel discussion/presentation for the Forum. The panel to present what has the Task Force done over the past few years. Small presentation and panel discussion? (COMPLETE, the panel ended up focusing on general regional toxics outreach)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and the E&amp;O Work group to update Task Force posters and add a new panel for display at the River Forum.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request that the Education and Outreach work group potentially draft a carefully worded and diplomatic letter to send to other communities in the watershed with information about what the Task Force is doing and why. (COMPLETE, Jerry White has taken on this task)</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July 26th, 2017 Task Force meeting notes were accepted.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SRRTTF approved the 2017 Homolog Mass Balance Memo with the edits Dave Dilks discussed.</w:t>
      </w:r>
    </w:p>
    <w:p w:rsidR="00166552" w:rsidRPr="00A550FE" w:rsidRDefault="00166552" w:rsidP="00A550FE">
      <w:pPr>
        <w:spacing w:line="240" w:lineRule="auto"/>
        <w:ind w:left="0"/>
        <w:rPr>
          <w:rFonts w:cstheme="minorHAnsi"/>
          <w:b/>
          <w:u w:val="single"/>
        </w:rPr>
      </w:pPr>
    </w:p>
    <w:p w:rsidR="00166552" w:rsidRPr="00A550FE" w:rsidRDefault="00166552" w:rsidP="00A550FE">
      <w:pPr>
        <w:spacing w:line="240" w:lineRule="auto"/>
        <w:ind w:left="0"/>
        <w:rPr>
          <w:rFonts w:cstheme="minorHAnsi"/>
        </w:rPr>
      </w:pPr>
      <w:r w:rsidRPr="00A550FE">
        <w:rPr>
          <w:rFonts w:cstheme="minorHAnsi"/>
          <w:b/>
          <w:u w:val="single"/>
        </w:rPr>
        <w:t>September 2017:</w:t>
      </w:r>
      <w:r w:rsidRPr="00A550FE">
        <w:rPr>
          <w:rFonts w:cstheme="minorHAnsi"/>
          <w:b/>
        </w:rPr>
        <w:t xml:space="preserve"> </w:t>
      </w:r>
      <w:r w:rsidRPr="00A550FE">
        <w:rPr>
          <w:rFonts w:cstheme="minorHAnsi"/>
        </w:rPr>
        <w:t>The Task Force held three meetings in September (TTWG, E&amp;O, TF)</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 xml:space="preserve">Presentations/Discussions (TTWG and E&amp;O): </w:t>
      </w:r>
      <w:r w:rsidRPr="00A550FE">
        <w:rPr>
          <w:rFonts w:cstheme="minorHAnsi"/>
        </w:rPr>
        <w:t>CDM Smith provided a walkthrough of the database features, the group discussed how to move the Task Force forward into implementation actions using the “</w:t>
      </w:r>
      <w:hyperlink r:id="rId68" w:history="1">
        <w:r w:rsidRPr="00A550FE">
          <w:rPr>
            <w:rStyle w:val="Hyperlink"/>
            <w:rFonts w:cstheme="minorHAnsi"/>
          </w:rPr>
          <w:t>Strawman” long term monitoring framework</w:t>
        </w:r>
      </w:hyperlink>
      <w:r w:rsidRPr="00A550FE">
        <w:rPr>
          <w:rFonts w:cstheme="minorHAnsi"/>
        </w:rPr>
        <w:t xml:space="preserve">, </w:t>
      </w:r>
      <w:hyperlink r:id="rId69" w:history="1">
        <w:r w:rsidRPr="00A550FE">
          <w:rPr>
            <w:rStyle w:val="Hyperlink"/>
            <w:rFonts w:cstheme="minorHAnsi"/>
          </w:rPr>
          <w:t>project ideas from Spokane County</w:t>
        </w:r>
      </w:hyperlink>
      <w:r w:rsidRPr="00A550FE">
        <w:rPr>
          <w:rFonts w:cstheme="minorHAnsi"/>
        </w:rPr>
        <w:t xml:space="preserve">, and a list of project ideas </w:t>
      </w:r>
      <w:hyperlink r:id="rId70" w:history="1">
        <w:r w:rsidRPr="00A550FE">
          <w:rPr>
            <w:rStyle w:val="Hyperlink"/>
            <w:rFonts w:cstheme="minorHAnsi"/>
          </w:rPr>
          <w:t>from Ecology</w:t>
        </w:r>
      </w:hyperlink>
      <w:r w:rsidRPr="00A550FE">
        <w:rPr>
          <w:rFonts w:cstheme="minorHAnsi"/>
        </w:rPr>
        <w:t>,  and they had a discussion of the merits of developing a more comprehensive study on fish tissue and PCBs. The Education and Outreach work group had a work session to revise the 2016 Task Force outreach posters (</w:t>
      </w:r>
      <w:hyperlink r:id="rId71" w:history="1">
        <w:r w:rsidRPr="00A550FE">
          <w:rPr>
            <w:rStyle w:val="Hyperlink"/>
            <w:rFonts w:cstheme="minorHAnsi"/>
          </w:rPr>
          <w:t>Panel 1</w:t>
        </w:r>
      </w:hyperlink>
      <w:r w:rsidRPr="00A550FE">
        <w:rPr>
          <w:rFonts w:cstheme="minorHAnsi"/>
        </w:rPr>
        <w:t xml:space="preserve">, </w:t>
      </w:r>
      <w:hyperlink r:id="rId72" w:history="1">
        <w:r w:rsidRPr="00A550FE">
          <w:rPr>
            <w:rStyle w:val="Hyperlink"/>
            <w:rFonts w:cstheme="minorHAnsi"/>
          </w:rPr>
          <w:t>Panel 2</w:t>
        </w:r>
      </w:hyperlink>
      <w:r w:rsidRPr="00A550FE">
        <w:rPr>
          <w:rFonts w:cstheme="minorHAnsi"/>
        </w:rPr>
        <w:t xml:space="preserve">, and </w:t>
      </w:r>
      <w:hyperlink r:id="rId73" w:history="1">
        <w:r w:rsidRPr="00A550FE">
          <w:rPr>
            <w:rStyle w:val="Hyperlink"/>
            <w:rFonts w:cstheme="minorHAnsi"/>
          </w:rPr>
          <w:t>Panel 3</w:t>
        </w:r>
      </w:hyperlink>
      <w:r w:rsidRPr="00A550FE">
        <w:rPr>
          <w:rFonts w:cstheme="minorHAnsi"/>
        </w:rPr>
        <w:t xml:space="preserve">) and create a new one focused on “What you can do”. The posters are to be revised by the October Task Force meeting for a decision and then to be on display at the November 2017 Spokane River Forum. </w:t>
      </w:r>
    </w:p>
    <w:p w:rsidR="00166552" w:rsidRPr="00A550FE" w:rsidRDefault="00166552" w:rsidP="00A550FE">
      <w:pPr>
        <w:spacing w:line="240" w:lineRule="auto"/>
        <w:ind w:left="0"/>
        <w:rPr>
          <w:rFonts w:cstheme="minorHAnsi"/>
          <w:i/>
        </w:rPr>
      </w:pPr>
      <w:r w:rsidRPr="00A550FE">
        <w:rPr>
          <w:rFonts w:cstheme="minorHAnsi"/>
          <w:b/>
        </w:rPr>
        <w:t xml:space="preserve">Presentations/Discussions (TF): </w:t>
      </w:r>
      <w:r w:rsidRPr="00A550FE">
        <w:rPr>
          <w:rFonts w:cstheme="minorHAnsi"/>
        </w:rPr>
        <w:t xml:space="preserve">The Task Force held a budget summit at the September meeting to discuss and prioritize projects to use of the $310,000 in funds provided by the legislature. Actions for funding were prioritized by the Technical Track Work Group with a survey prior to the full Task Force meeting of which most voting Task Force members participated in. This led to a </w:t>
      </w:r>
      <w:hyperlink r:id="rId74" w:history="1">
        <w:r w:rsidRPr="00A550FE">
          <w:rPr>
            <w:rStyle w:val="Hyperlink"/>
            <w:rFonts w:cstheme="minorHAnsi"/>
          </w:rPr>
          <w:t>prioritized list of projects</w:t>
        </w:r>
      </w:hyperlink>
      <w:r w:rsidRPr="00A550FE">
        <w:rPr>
          <w:rFonts w:cstheme="minorHAnsi"/>
        </w:rPr>
        <w:t xml:space="preserve"> for the full Task Force to consider.  LimnoTech also gave a presentation on the “</w:t>
      </w:r>
      <w:hyperlink r:id="rId75" w:history="1">
        <w:r w:rsidRPr="00A550FE">
          <w:rPr>
            <w:rStyle w:val="Hyperlink"/>
            <w:rFonts w:cstheme="minorHAnsi"/>
          </w:rPr>
          <w:t>Comparison of Homolog-Patterns for Groundwater Well Data and Suspected Loads</w:t>
        </w:r>
      </w:hyperlink>
      <w:r w:rsidRPr="00A550FE">
        <w:rPr>
          <w:rFonts w:cstheme="minorHAnsi"/>
        </w:rPr>
        <w:t xml:space="preserve">” and on the </w:t>
      </w:r>
      <w:hyperlink r:id="rId76" w:history="1">
        <w:r w:rsidRPr="00A550FE">
          <w:rPr>
            <w:rStyle w:val="Hyperlink"/>
            <w:rFonts w:cstheme="minorHAnsi"/>
          </w:rPr>
          <w:t>draft  memo</w:t>
        </w:r>
      </w:hyperlink>
      <w:r w:rsidRPr="00A550FE">
        <w:rPr>
          <w:rFonts w:cstheme="minorHAnsi"/>
        </w:rPr>
        <w:t xml:space="preserve"> of this work.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post the August 23, 2017 final notes to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Chris Donley to locate PCB or fish contaminant experts and begin to put a suggested scope of work together along with a small Task Force workgroup (NOTE: On 10/4/17 the TTWG solicited volunteers for this fish sampling workgroup and came up with Brandee Era-Miller, Doug Krapas, Dave Dilks, Cadie Olson, Bud Leber, Lisa Dally Wilson, and Spokane County (TBD) in addition to Chris Donley and anyone else from WDFW. Monica Ott was also added to this work group at a later date.)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Lisa Manning, Jerry White, AND Karin Baldwin to discuss the SRRTTF session for the Forum. Tom Agnew will ask BiJay if he can participate. (NOTE: Kara Whitman talked with Andy Dunau, who changed the session to a discussion of regional toxics outreach; the Task Force is no longer developing this session.)</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authorized ACE to pay up to $5,000 to LimnoTech, and up to $10,000 to AXYS, to pay for the retrieval and/or generation of analytical data files needed to complete work on the Task Force database.</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Task Force accepted the 8/23/17 meeting notes, with one minor edit noted. </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chose the “Partial Synoptic Sampling (high-frequency)” general approach. The work will be framed as baseline data collection, with further discussion of location, timing, and number of samples.</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group wants to do “true science” on PCBs in fish tissue, but recognized a lot more thought needs to go into it, so tabled doing this study until the parameters can be more thoroughly pulled together.</w:t>
      </w:r>
    </w:p>
    <w:p w:rsidR="00166552" w:rsidRPr="00A550FE" w:rsidRDefault="00166552" w:rsidP="00A550FE">
      <w:pPr>
        <w:spacing w:line="240" w:lineRule="auto"/>
        <w:ind w:left="0"/>
        <w:rPr>
          <w:rFonts w:eastAsia="Calibri" w:cstheme="minorHAnsi"/>
        </w:rPr>
      </w:pPr>
      <w:r w:rsidRPr="00A550FE">
        <w:rPr>
          <w:rFonts w:eastAsia="Calibri" w:cstheme="minorHAnsi"/>
          <w:b/>
        </w:rPr>
        <w:t xml:space="preserve">DECISION: </w:t>
      </w:r>
      <w:r w:rsidRPr="00A550FE">
        <w:rPr>
          <w:rFonts w:eastAsia="Calibri" w:cstheme="minorHAnsi"/>
        </w:rPr>
        <w:t>The Task Force agreed to the following projects for the $310,000 in legislative funding. Other moneys could fund other projects that did not get selected at this time.</w:t>
      </w:r>
    </w:p>
    <w:p w:rsidR="00166552" w:rsidRPr="00A550FE" w:rsidRDefault="00166552" w:rsidP="00A550FE">
      <w:pPr>
        <w:spacing w:line="240" w:lineRule="auto"/>
        <w:ind w:left="0"/>
        <w:rPr>
          <w:rFonts w:eastAsia="Calibri" w:cstheme="minorHAnsi"/>
        </w:rPr>
      </w:pPr>
      <w:r w:rsidRPr="00A550FE">
        <w:rPr>
          <w:rFonts w:eastAsia="Calibri" w:cstheme="minorHAnsi"/>
          <w:noProof/>
          <w:color w:val="FF0000"/>
        </w:rPr>
        <mc:AlternateContent>
          <mc:Choice Requires="wps">
            <w:drawing>
              <wp:anchor distT="0" distB="0" distL="114300" distR="114300" simplePos="0" relativeHeight="251659264" behindDoc="0" locked="0" layoutInCell="1" allowOverlap="1" wp14:anchorId="1173F8CC" wp14:editId="291C750A">
                <wp:simplePos x="0" y="0"/>
                <wp:positionH relativeFrom="column">
                  <wp:posOffset>3820285</wp:posOffset>
                </wp:positionH>
                <wp:positionV relativeFrom="paragraph">
                  <wp:posOffset>2637</wp:posOffset>
                </wp:positionV>
                <wp:extent cx="571500" cy="957467"/>
                <wp:effectExtent l="0" t="0" r="19050" b="1460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957467"/>
                        </a:xfrm>
                        <a:prstGeom prst="rightBrace">
                          <a:avLst/>
                        </a:prstGeom>
                        <a:noFill/>
                        <a:ln w="9525" cap="flat" cmpd="sng" algn="ctr">
                          <a:solidFill>
                            <a:srgbClr val="1F497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B602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0.8pt;margin-top:.2pt;width:4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" adj="1074" strokecolor="#10253f"/>
            </w:pict>
          </mc:Fallback>
        </mc:AlternateContent>
      </w:r>
      <w:r w:rsidRPr="00A550FE">
        <w:rPr>
          <w:rFonts w:eastAsia="Calibri" w:cstheme="minorHAnsi"/>
          <w:noProof/>
        </w:rPr>
        <mc:AlternateContent>
          <mc:Choice Requires="wps">
            <w:drawing>
              <wp:anchor distT="45720" distB="45720" distL="114300" distR="114300" simplePos="0" relativeHeight="251660288" behindDoc="1" locked="0" layoutInCell="1" allowOverlap="1" wp14:anchorId="43C2CCAF" wp14:editId="23333D6D">
                <wp:simplePos x="0" y="0"/>
                <wp:positionH relativeFrom="column">
                  <wp:posOffset>5276850</wp:posOffset>
                </wp:positionH>
                <wp:positionV relativeFrom="paragraph">
                  <wp:posOffset>38735</wp:posOffset>
                </wp:positionV>
                <wp:extent cx="131445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95350"/>
                        </a:xfrm>
                        <a:prstGeom prst="rect">
                          <a:avLst/>
                        </a:prstGeom>
                        <a:solidFill>
                          <a:srgbClr val="FFFFFF"/>
                        </a:solidFill>
                        <a:ln w="9525">
                          <a:noFill/>
                          <a:round/>
                          <a:headEnd/>
                          <a:tailEnd/>
                        </a:ln>
                      </wps:spPr>
                      <wps:txbx>
                        <w:txbxContent>
                          <w:p w:rsidR="00166552" w:rsidRPr="00BB4BEA" w:rsidRDefault="00166552" w:rsidP="00166552">
                            <w:pPr>
                              <w:spacing w:line="240" w:lineRule="auto"/>
                              <w:jc w:val="center"/>
                              <w:rPr>
                                <w:i/>
                                <w:sz w:val="20"/>
                              </w:rPr>
                            </w:pPr>
                            <w:r w:rsidRPr="00BB4BEA">
                              <w:rPr>
                                <w:i/>
                                <w:sz w:val="20"/>
                              </w:rPr>
                              <w:t>d drops to lower priority</w:t>
                            </w:r>
                            <w:r>
                              <w:rPr>
                                <w:i/>
                                <w:sz w:val="20"/>
                              </w:rPr>
                              <w:t xml:space="preserve">; </w:t>
                            </w:r>
                            <w:r w:rsidRPr="00BB4BEA">
                              <w:rPr>
                                <w:i/>
                                <w:sz w:val="20"/>
                              </w:rPr>
                              <w:t>f to be followed up after more technical discussion.</w:t>
                            </w:r>
                          </w:p>
                          <w:p w:rsidR="00166552" w:rsidRPr="00070FB8" w:rsidRDefault="00166552" w:rsidP="001665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CCAF" id="_x0000_t202" coordsize="21600,21600" o:spt="202" path="m,l,21600r21600,l21600,xe">
                <v:stroke joinstyle="miter"/>
                <v:path gradientshapeok="t" o:connecttype="rect"/>
              </v:shapetype>
              <v:shape id="Text Box 2" o:spid="_x0000_s1026" type="#_x0000_t202" style="position:absolute;margin-left:415.5pt;margin-top:3.05pt;width:103.5pt;height: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" stroked="f">
                <v:stroke joinstyle="round"/>
                <v:textbox>
                  <w:txbxContent>
                    <w:p w:rsidR="00166552" w:rsidRPr="00BB4BEA" w:rsidRDefault="00166552" w:rsidP="00166552">
                      <w:pPr>
                        <w:spacing w:line="240" w:lineRule="auto"/>
                        <w:jc w:val="center"/>
                        <w:rPr>
                          <w:i/>
                          <w:sz w:val="20"/>
                        </w:rPr>
                      </w:pPr>
                      <w:r w:rsidRPr="00BB4BEA">
                        <w:rPr>
                          <w:i/>
                          <w:sz w:val="20"/>
                        </w:rPr>
                        <w:t>d drops to lower priority</w:t>
                      </w:r>
                      <w:r>
                        <w:rPr>
                          <w:i/>
                          <w:sz w:val="20"/>
                        </w:rPr>
                        <w:t xml:space="preserve">; </w:t>
                      </w:r>
                      <w:r w:rsidRPr="00BB4BEA">
                        <w:rPr>
                          <w:i/>
                          <w:sz w:val="20"/>
                        </w:rPr>
                        <w:t>f to be followed up after more technical discussion.</w:t>
                      </w:r>
                    </w:p>
                    <w:p w:rsidR="00166552" w:rsidRPr="00070FB8" w:rsidRDefault="00166552" w:rsidP="00166552">
                      <w:pPr>
                        <w:jc w:val="center"/>
                      </w:pPr>
                    </w:p>
                  </w:txbxContent>
                </v:textbox>
              </v:shape>
            </w:pict>
          </mc:Fallback>
        </mc:AlternateContent>
      </w:r>
      <w:r w:rsidRPr="00A550FE">
        <w:rPr>
          <w:rFonts w:eastAsia="Calibri" w:cstheme="minorHAnsi"/>
        </w:rPr>
        <w:t>up to $140 K      b (</w:t>
      </w:r>
      <w:r w:rsidRPr="00A550FE">
        <w:rPr>
          <w:rFonts w:eastAsia="Times New Roman" w:cstheme="minorHAnsi"/>
          <w:i/>
          <w:color w:val="000000"/>
        </w:rPr>
        <w:t>study groundwater upgradient of Kaiser)</w:t>
      </w:r>
    </w:p>
    <w:p w:rsidR="00166552" w:rsidRPr="00A550FE" w:rsidRDefault="00166552" w:rsidP="00A550FE">
      <w:pPr>
        <w:spacing w:line="240" w:lineRule="auto"/>
        <w:ind w:left="0"/>
        <w:rPr>
          <w:rFonts w:eastAsia="Calibri" w:cstheme="minorHAnsi"/>
        </w:rPr>
      </w:pPr>
      <w:r w:rsidRPr="00A550FE">
        <w:rPr>
          <w:rFonts w:eastAsia="Calibri" w:cstheme="minorHAnsi"/>
        </w:rPr>
        <w:t>$50,000              c (</w:t>
      </w:r>
      <w:r w:rsidRPr="00A550FE">
        <w:rPr>
          <w:rFonts w:eastAsia="Times New Roman" w:cstheme="minorHAnsi"/>
          <w:i/>
          <w:color w:val="000000"/>
        </w:rPr>
        <w:t>Plantes Ferry Park/Upriver Dam/Greene St. mass balance)</w:t>
      </w:r>
    </w:p>
    <w:p w:rsidR="00166552" w:rsidRPr="00A550FE" w:rsidRDefault="00166552" w:rsidP="00A550FE">
      <w:pPr>
        <w:spacing w:line="240" w:lineRule="auto"/>
        <w:ind w:left="0"/>
        <w:rPr>
          <w:rFonts w:eastAsia="Calibri" w:cstheme="minorHAnsi"/>
        </w:rPr>
      </w:pPr>
      <w:r w:rsidRPr="00A550FE">
        <w:rPr>
          <w:rFonts w:eastAsia="Calibri" w:cstheme="minorHAnsi"/>
        </w:rPr>
        <w:t>$10,000              i (</w:t>
      </w:r>
      <w:r w:rsidRPr="00A550FE">
        <w:rPr>
          <w:rFonts w:eastAsia="Times New Roman" w:cstheme="minorHAnsi"/>
          <w:i/>
          <w:color w:val="000000"/>
        </w:rPr>
        <w:t>support Green Chemistry)</w:t>
      </w:r>
      <w:r w:rsidRPr="00A550FE">
        <w:rPr>
          <w:rFonts w:eastAsia="Times New Roman" w:cstheme="minorHAnsi"/>
          <w:i/>
          <w:color w:val="000000"/>
        </w:rPr>
        <w:tab/>
      </w:r>
      <w:r w:rsidRPr="00A550FE">
        <w:rPr>
          <w:rFonts w:eastAsia="Calibri" w:cstheme="minorHAnsi"/>
        </w:rPr>
        <w:tab/>
      </w:r>
      <w:r w:rsidRPr="00A550FE">
        <w:rPr>
          <w:rFonts w:eastAsia="Calibri" w:cstheme="minorHAnsi"/>
        </w:rPr>
        <w:tab/>
      </w:r>
      <w:r w:rsidRPr="00A550FE">
        <w:rPr>
          <w:rFonts w:eastAsia="Calibri" w:cstheme="minorHAnsi"/>
        </w:rPr>
        <w:tab/>
        <w:t xml:space="preserve">           Total:  $310,000   </w:t>
      </w:r>
    </w:p>
    <w:p w:rsidR="00166552" w:rsidRPr="00A550FE" w:rsidRDefault="00166552" w:rsidP="00A550FE">
      <w:pPr>
        <w:spacing w:line="240" w:lineRule="auto"/>
        <w:ind w:left="0"/>
        <w:rPr>
          <w:rFonts w:eastAsia="Calibri" w:cstheme="minorHAnsi"/>
        </w:rPr>
      </w:pPr>
      <w:r w:rsidRPr="00A550FE">
        <w:rPr>
          <w:rFonts w:eastAsia="Calibri" w:cstheme="minorHAnsi"/>
        </w:rPr>
        <w:t>$ 35,000             j (</w:t>
      </w:r>
      <w:r w:rsidRPr="00A550FE">
        <w:rPr>
          <w:rFonts w:eastAsia="Times New Roman" w:cstheme="minorHAnsi"/>
          <w:i/>
          <w:color w:val="000000"/>
        </w:rPr>
        <w:t>product testing)</w:t>
      </w:r>
    </w:p>
    <w:p w:rsidR="00166552" w:rsidRPr="00A550FE" w:rsidRDefault="00166552" w:rsidP="00A550FE">
      <w:pPr>
        <w:spacing w:line="240" w:lineRule="auto"/>
        <w:ind w:left="0"/>
        <w:rPr>
          <w:rFonts w:eastAsia="Times New Roman" w:cstheme="minorHAnsi"/>
          <w:i/>
          <w:color w:val="000000"/>
        </w:rPr>
      </w:pPr>
      <w:r w:rsidRPr="00A550FE">
        <w:rPr>
          <w:rFonts w:eastAsia="Calibri" w:cstheme="minorHAnsi"/>
        </w:rPr>
        <w:t>$25,000              e (</w:t>
      </w:r>
      <w:r w:rsidRPr="00A550FE">
        <w:rPr>
          <w:rFonts w:eastAsia="Times New Roman" w:cstheme="minorHAnsi"/>
          <w:i/>
          <w:color w:val="000000"/>
        </w:rPr>
        <w:t>outreach)</w:t>
      </w:r>
    </w:p>
    <w:p w:rsidR="00166552" w:rsidRPr="00A550FE" w:rsidRDefault="00166552" w:rsidP="00A550FE">
      <w:pPr>
        <w:spacing w:line="240" w:lineRule="auto"/>
        <w:ind w:left="0"/>
        <w:rPr>
          <w:rFonts w:eastAsia="Times New Roman" w:cstheme="minorHAnsi"/>
          <w:color w:val="000000"/>
        </w:rPr>
      </w:pPr>
      <w:r w:rsidRPr="00A550FE">
        <w:rPr>
          <w:rFonts w:eastAsia="Times New Roman" w:cstheme="minorHAnsi"/>
          <w:color w:val="000000"/>
        </w:rPr>
        <w:t>$50,000              Partial Sampling</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agreed to authorize ACE to add scope and budget to cover ad-hoc TTWG requests.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Chris Page invite Stephanie Hampton of CEREO to December Task Force meeting. (COMPLETE)</w:t>
      </w:r>
    </w:p>
    <w:p w:rsidR="00166552" w:rsidRPr="00A550FE" w:rsidRDefault="00166552" w:rsidP="00A550FE">
      <w:pPr>
        <w:spacing w:line="240" w:lineRule="auto"/>
        <w:ind w:left="0"/>
        <w:rPr>
          <w:rFonts w:cstheme="minorHAnsi"/>
        </w:rPr>
      </w:pPr>
    </w:p>
    <w:p w:rsidR="00166552" w:rsidRPr="00A550FE" w:rsidRDefault="00166552" w:rsidP="00A550FE">
      <w:pPr>
        <w:spacing w:line="240" w:lineRule="auto"/>
        <w:ind w:left="0"/>
        <w:rPr>
          <w:rFonts w:cstheme="minorHAnsi"/>
        </w:rPr>
      </w:pPr>
      <w:r w:rsidRPr="00A550FE">
        <w:rPr>
          <w:rFonts w:cstheme="minorHAnsi"/>
          <w:b/>
          <w:u w:val="single"/>
        </w:rPr>
        <w:t>October 2017:</w:t>
      </w:r>
      <w:r w:rsidRPr="00A550FE">
        <w:rPr>
          <w:rFonts w:cstheme="minorHAnsi"/>
          <w:b/>
        </w:rPr>
        <w:t xml:space="preserve"> </w:t>
      </w:r>
      <w:r w:rsidRPr="00A550FE">
        <w:rPr>
          <w:rFonts w:cstheme="minorHAnsi"/>
        </w:rPr>
        <w:t>The Task Force held three meetings in October 2017 (TTWG, E&amp;O, TF)</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Inputs:</w:t>
      </w:r>
    </w:p>
    <w:p w:rsidR="00166552" w:rsidRPr="00A550FE" w:rsidRDefault="00166552" w:rsidP="00A550FE">
      <w:pPr>
        <w:spacing w:line="240" w:lineRule="auto"/>
        <w:ind w:left="0"/>
        <w:rPr>
          <w:rFonts w:cstheme="minorHAnsi"/>
        </w:rPr>
      </w:pPr>
      <w:r w:rsidRPr="00A550FE">
        <w:rPr>
          <w:rFonts w:cstheme="minorHAnsi"/>
          <w:b/>
        </w:rPr>
        <w:t xml:space="preserve">Presentations/Discussions (TTWG and E&amp;O): </w:t>
      </w:r>
      <w:r w:rsidRPr="00A550FE">
        <w:rPr>
          <w:rFonts w:cstheme="minorHAnsi"/>
        </w:rPr>
        <w:t>CDM Smith provided a guided tour of the Task Force Database and asked for feedback on features in the database, and access to missing analytical data. LimnoTech gave a presentation on the “</w:t>
      </w:r>
      <w:hyperlink r:id="rId77" w:history="1">
        <w:r w:rsidRPr="00A550FE">
          <w:rPr>
            <w:rStyle w:val="Hyperlink"/>
            <w:rFonts w:cstheme="minorHAnsi"/>
          </w:rPr>
          <w:t>Comparison of Homolog-Patterns for Groundwater Well Data and Suspected Loads</w:t>
        </w:r>
      </w:hyperlink>
      <w:r w:rsidRPr="00A550FE">
        <w:rPr>
          <w:rFonts w:cstheme="minorHAnsi"/>
        </w:rPr>
        <w:t xml:space="preserve">” and the associated </w:t>
      </w:r>
      <w:hyperlink r:id="rId78" w:history="1">
        <w:r w:rsidRPr="00A550FE">
          <w:rPr>
            <w:rStyle w:val="Hyperlink"/>
            <w:rFonts w:cstheme="minorHAnsi"/>
          </w:rPr>
          <w:t>memo</w:t>
        </w:r>
      </w:hyperlink>
      <w:r w:rsidRPr="00A550FE">
        <w:rPr>
          <w:rFonts w:cstheme="minorHAnsi"/>
        </w:rPr>
        <w:t xml:space="preserve">.  The group also discussed proposal for the Environmental Assessment Program (EAP) to take on, this discussion was centered around </w:t>
      </w:r>
      <w:hyperlink r:id="rId79" w:history="1">
        <w:r w:rsidRPr="00A550FE">
          <w:rPr>
            <w:rStyle w:val="Hyperlink"/>
            <w:rFonts w:cstheme="minorHAnsi"/>
          </w:rPr>
          <w:t>potential projects</w:t>
        </w:r>
      </w:hyperlink>
      <w:r w:rsidRPr="00A550FE">
        <w:rPr>
          <w:rFonts w:cstheme="minorHAnsi"/>
        </w:rPr>
        <w:t xml:space="preserve">  based prioritized list from the Task Force, on previously submitted proposals (</w:t>
      </w:r>
      <w:hyperlink r:id="rId80" w:history="1">
        <w:r w:rsidRPr="00A550FE">
          <w:rPr>
            <w:rStyle w:val="Hyperlink"/>
            <w:rFonts w:cstheme="minorHAnsi"/>
          </w:rPr>
          <w:t>1</w:t>
        </w:r>
      </w:hyperlink>
      <w:r w:rsidRPr="00A550FE">
        <w:rPr>
          <w:rFonts w:cstheme="minorHAnsi"/>
        </w:rPr>
        <w:t xml:space="preserve">, </w:t>
      </w:r>
      <w:hyperlink r:id="rId81" w:history="1">
        <w:r w:rsidRPr="00A550FE">
          <w:rPr>
            <w:rStyle w:val="Hyperlink"/>
            <w:rFonts w:cstheme="minorHAnsi"/>
          </w:rPr>
          <w:t>2</w:t>
        </w:r>
      </w:hyperlink>
      <w:r w:rsidRPr="00A550FE">
        <w:rPr>
          <w:rFonts w:cstheme="minorHAnsi"/>
        </w:rPr>
        <w:t xml:space="preserve">) and an </w:t>
      </w:r>
      <w:hyperlink r:id="rId82" w:history="1">
        <w:r w:rsidRPr="00A550FE">
          <w:rPr>
            <w:rStyle w:val="Hyperlink"/>
            <w:rFonts w:cstheme="minorHAnsi"/>
          </w:rPr>
          <w:t>additional proposal from Brian Nickel</w:t>
        </w:r>
      </w:hyperlink>
      <w:r w:rsidRPr="00A550FE">
        <w:rPr>
          <w:rFonts w:cstheme="minorHAnsi"/>
        </w:rPr>
        <w:t xml:space="preserve"> to expand the proposed mass balance assessment. The Education and Outreach Work group continued to revise </w:t>
      </w:r>
      <w:hyperlink r:id="rId83" w:history="1">
        <w:r w:rsidRPr="00A550FE">
          <w:rPr>
            <w:rStyle w:val="Hyperlink"/>
            <w:rFonts w:cstheme="minorHAnsi"/>
          </w:rPr>
          <w:t>the Task Force Posters</w:t>
        </w:r>
      </w:hyperlink>
      <w:r w:rsidRPr="00A550FE">
        <w:rPr>
          <w:rFonts w:cstheme="minorHAnsi"/>
        </w:rPr>
        <w:t xml:space="preserve"> to be ready for the Spokane River Forum.  </w:t>
      </w:r>
    </w:p>
    <w:p w:rsidR="00166552" w:rsidRPr="00A550FE" w:rsidRDefault="00166552" w:rsidP="00A550FE">
      <w:pPr>
        <w:spacing w:line="240" w:lineRule="auto"/>
        <w:ind w:left="0"/>
        <w:rPr>
          <w:rFonts w:cstheme="minorHAnsi"/>
        </w:rPr>
      </w:pPr>
      <w:r w:rsidRPr="00A550FE">
        <w:rPr>
          <w:rFonts w:cstheme="minorHAnsi"/>
          <w:b/>
        </w:rPr>
        <w:t xml:space="preserve">Presentations/Discussions (TF): </w:t>
      </w:r>
      <w:r w:rsidRPr="00A550FE">
        <w:rPr>
          <w:rFonts w:cstheme="minorHAnsi"/>
        </w:rPr>
        <w:t xml:space="preserve">Will Hobs provided a presentation on the Wenatchee River PCB and DDT Source assessment and accumulation of PCBs in the food web study. Sundae Delgado of the Department of Enterprise Services also provided a presentation and asked for Task Force feedback and expertise on both an </w:t>
      </w:r>
      <w:hyperlink r:id="rId84" w:history="1">
        <w:r w:rsidRPr="00A550FE">
          <w:rPr>
            <w:rStyle w:val="Hyperlink"/>
            <w:rFonts w:cstheme="minorHAnsi"/>
          </w:rPr>
          <w:t>outreach video on PCBs and purchasing</w:t>
        </w:r>
      </w:hyperlink>
      <w:r w:rsidRPr="00A550FE">
        <w:rPr>
          <w:rFonts w:cstheme="minorHAnsi"/>
        </w:rPr>
        <w:t xml:space="preserve"> as well as a prototype of a purchasing tool to assist in purchasing decision making. The Task Force also worked through a </w:t>
      </w:r>
      <w:hyperlink r:id="rId85" w:history="1">
        <w:r w:rsidRPr="00A550FE">
          <w:rPr>
            <w:rStyle w:val="Hyperlink"/>
            <w:rFonts w:cstheme="minorHAnsi"/>
          </w:rPr>
          <w:t>project tracking chart</w:t>
        </w:r>
      </w:hyperlink>
      <w:r w:rsidRPr="00A550FE">
        <w:rPr>
          <w:rFonts w:cstheme="minorHAnsi"/>
        </w:rPr>
        <w:t xml:space="preserve">. </w:t>
      </w:r>
    </w:p>
    <w:p w:rsidR="00166552" w:rsidRPr="00A550FE" w:rsidRDefault="00166552" w:rsidP="00A550FE">
      <w:pPr>
        <w:spacing w:before="120" w:line="240" w:lineRule="auto"/>
        <w:ind w:left="0"/>
        <w:rPr>
          <w:rFonts w:cstheme="minorHAnsi"/>
          <w:b/>
          <w:i/>
          <w:color w:val="4F81BD" w:themeColor="accent1"/>
        </w:rPr>
      </w:pPr>
      <w:r w:rsidRPr="00A550FE">
        <w:rPr>
          <w:rFonts w:cstheme="minorHAnsi"/>
          <w:b/>
          <w:i/>
          <w:color w:val="4F81BD" w:themeColor="accent1"/>
        </w:rPr>
        <w:t>Outputs: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Post Falls send lab data to CDM Smith, CDM Smith to work with Brandee Era-Miller to get fish tissue data in the database. (COMPLETE? Awaiting formatting instructions)</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CDM Smith to potentially present at October Task Force meeting (will have all the different types of data included). (Did not present, still awaiting more data)</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Dave Dilks and Tim Towey to compare the river/groundwater estimated loads to aroclor patterns and report to the Task Force.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Task Force members to send comments to LimnoTech on the Groundwater Memo by October 11th for posting by October 18th for a Task Force decision at the October 25, 2017 Task Force meeting.</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edit the 9/27/17 meeting notes and post to Task Force website. (COMPLETE)</w:t>
      </w:r>
    </w:p>
    <w:p w:rsidR="00166552" w:rsidRPr="00A550FE" w:rsidRDefault="00166552" w:rsidP="00A550FE">
      <w:pPr>
        <w:spacing w:line="240" w:lineRule="auto"/>
        <w:ind w:left="0"/>
        <w:rPr>
          <w:rFonts w:cstheme="minorHAnsi"/>
          <w:i/>
        </w:rPr>
      </w:pPr>
      <w:r w:rsidRPr="00A550FE">
        <w:rPr>
          <w:rFonts w:cstheme="minorHAnsi"/>
          <w:b/>
        </w:rPr>
        <w:t>ACTION ITEM:</w:t>
      </w:r>
      <w:r w:rsidRPr="00A550FE">
        <w:rPr>
          <w:rFonts w:cstheme="minorHAnsi"/>
        </w:rPr>
        <w:t xml:space="preserve"> Doug Krapas to have a discussion with representative Ornsby to better understand It would be helpful to have a description on how this funding is to be used, clear parameters. Adriane Borgias to request that Garret Ward from Ecology to provide a description of how the funding works. </w:t>
      </w:r>
      <w:r w:rsidRPr="00A550FE">
        <w:rPr>
          <w:rFonts w:cstheme="minorHAnsi"/>
          <w:i/>
        </w:rPr>
        <w:t>(COMPLETE: “</w:t>
      </w:r>
      <w:r w:rsidRPr="00A550FE">
        <w:rPr>
          <w:rFonts w:cstheme="minorHAnsi"/>
          <w:i/>
          <w:color w:val="1F497D"/>
        </w:rPr>
        <w:t>Since the funding in the budget came from the general fund, SRRTTF can only spend $155K year FY.  General Fund – State is an annual appropriation (whereas some of our other accounts are a biennial appropriation).  For General Fund, because the funding comes in two separate appropriations, SRRTTF needs to spend $155K in FY18, and $155K in FY19.  If SRRTTF underspends in FY18, by say $10K, that $10K does not roll to FY19)</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November 2017 meeting topic: project leads and project management.</w:t>
      </w:r>
    </w:p>
    <w:p w:rsidR="00166552" w:rsidRPr="00A550FE" w:rsidRDefault="00166552" w:rsidP="00A550FE">
      <w:pPr>
        <w:spacing w:line="240" w:lineRule="auto"/>
        <w:ind w:left="0"/>
        <w:rPr>
          <w:rFonts w:cstheme="minorHAnsi"/>
        </w:rPr>
      </w:pPr>
      <w:r w:rsidRPr="00A550FE">
        <w:rPr>
          <w:rFonts w:cstheme="minorHAnsi"/>
          <w:b/>
        </w:rPr>
        <w:t>ACTION ITEMS:</w:t>
      </w:r>
      <w:r w:rsidRPr="00A550FE">
        <w:rPr>
          <w:rFonts w:cstheme="minorHAnsi"/>
        </w:rPr>
        <w:t xml:space="preserve"> The smaller database work group to work with Rao Sangarmanchi of CDM Smith on finishing the project/setting dates, etc.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Jim Ross to work with LimnoTech and TCP (Jeremy Schmidt) to update map with well locations.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to send out the revised map/memo when it is done so it can be reviewed.</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Karin Baldwin and/or Adriane Borgias to put in an ask to Ecology could put in a request to move the fish feed though a bit faster? EAP will put the question out there. any other categories push through faster, ahead of others?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Ecology to find out how the PCB Chemical Action Plan is being implemented as it relates to C10 and C11 in the list of Task Force projects.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EAP- product testing is not appropriate for this group, there may be another avenue. Ecology will be submitted a Central Tendency study and continued technical support to EAP.</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Project management discussion to be added to the December 2017 TTWG Agenda.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to pull together a template for the implementation review summary (IRS) to discuss at the Technical Track Work Group meeting.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to send this announcement out again.  (who would write the grant, capacity question – a grant that likes regional coordination).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Add discussion of process management for the Task Force to the November 2017 Task Force meeting agenda. (COMPLETE)</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9/27/7 Task Force meeting notes minor edits.</w:t>
      </w:r>
    </w:p>
    <w:p w:rsidR="00166552" w:rsidRPr="00A550FE" w:rsidRDefault="00166552" w:rsidP="00A550FE">
      <w:pPr>
        <w:spacing w:line="240" w:lineRule="auto"/>
        <w:ind w:left="0"/>
        <w:rPr>
          <w:rFonts w:cstheme="minorHAnsi"/>
        </w:rPr>
      </w:pPr>
      <w:r w:rsidRPr="00A550FE">
        <w:rPr>
          <w:rFonts w:cstheme="minorHAnsi"/>
          <w:b/>
        </w:rPr>
        <w:t>DECISION:</w:t>
      </w:r>
      <w:r w:rsidRPr="00A550FE">
        <w:rPr>
          <w:rFonts w:cstheme="minorHAnsi"/>
        </w:rPr>
        <w:t xml:space="preserve"> The Task Force approved the LimnoTech </w:t>
      </w:r>
      <w:hyperlink r:id="rId86" w:history="1">
        <w:r w:rsidRPr="00A550FE">
          <w:rPr>
            <w:rStyle w:val="Hyperlink"/>
            <w:rFonts w:cstheme="minorHAnsi"/>
          </w:rPr>
          <w:t>Groundwater Fingerprinting memo</w:t>
        </w:r>
      </w:hyperlink>
      <w:r w:rsidRPr="00A550FE">
        <w:rPr>
          <w:rFonts w:cstheme="minorHAnsi"/>
        </w:rPr>
        <w:t xml:space="preserve"> with the contingency that the map of the GE site be updated with correct well locations.</w:t>
      </w:r>
    </w:p>
    <w:p w:rsidR="00166552" w:rsidRPr="00A550FE" w:rsidRDefault="00166552" w:rsidP="00A550FE">
      <w:pPr>
        <w:spacing w:line="240" w:lineRule="auto"/>
        <w:ind w:left="0"/>
        <w:rPr>
          <w:rFonts w:cstheme="minorHAnsi"/>
        </w:rPr>
      </w:pPr>
      <w:r w:rsidRPr="00A550FE">
        <w:rPr>
          <w:rFonts w:cstheme="minorHAnsi"/>
          <w:b/>
        </w:rPr>
        <w:t>DECISION: Task Force Posters-</w:t>
      </w:r>
      <w:r w:rsidRPr="00A550FE">
        <w:rPr>
          <w:rFonts w:cstheme="minorHAnsi"/>
        </w:rPr>
        <w:t xml:space="preserve"> </w:t>
      </w:r>
      <w:hyperlink r:id="rId87" w:history="1">
        <w:r w:rsidRPr="00A550FE">
          <w:rPr>
            <w:rStyle w:val="Hyperlink"/>
            <w:rFonts w:cstheme="minorHAnsi"/>
          </w:rPr>
          <w:t>4 panels</w:t>
        </w:r>
      </w:hyperlink>
      <w:r w:rsidRPr="00A550FE">
        <w:rPr>
          <w:rFonts w:cstheme="minorHAnsi"/>
        </w:rPr>
        <w:t xml:space="preserve">. Approved. Change newsprint to “recycled paper”, use version of poster with less yellow. Use the pie chart. </w:t>
      </w:r>
    </w:p>
    <w:p w:rsidR="00166552" w:rsidRPr="00A550FE" w:rsidRDefault="00166552" w:rsidP="00A550FE">
      <w:pPr>
        <w:spacing w:line="240" w:lineRule="auto"/>
        <w:ind w:left="0"/>
        <w:rPr>
          <w:rFonts w:cstheme="minorHAnsi"/>
          <w:b/>
          <w:i/>
          <w:u w:val="single"/>
        </w:rPr>
      </w:pPr>
    </w:p>
    <w:p w:rsidR="00166552" w:rsidRPr="00A550FE" w:rsidRDefault="00166552" w:rsidP="00A550FE">
      <w:pPr>
        <w:spacing w:line="240" w:lineRule="auto"/>
        <w:ind w:left="0"/>
        <w:rPr>
          <w:rFonts w:cstheme="minorHAnsi"/>
          <w:b/>
        </w:rPr>
      </w:pPr>
      <w:r w:rsidRPr="00A550FE">
        <w:rPr>
          <w:rFonts w:cstheme="minorHAnsi"/>
          <w:b/>
        </w:rPr>
        <w:t xml:space="preserve">November 2017: </w:t>
      </w:r>
      <w:r w:rsidRPr="00A550FE">
        <w:rPr>
          <w:rFonts w:cstheme="minorHAnsi"/>
        </w:rPr>
        <w:t>The Task Force held three meetings in November 2017 (TTWG, E&amp;O, TF)</w:t>
      </w:r>
    </w:p>
    <w:p w:rsidR="00166552" w:rsidRPr="00A550FE" w:rsidRDefault="00166552" w:rsidP="00A550FE">
      <w:pPr>
        <w:spacing w:line="240" w:lineRule="auto"/>
        <w:ind w:left="0"/>
        <w:rPr>
          <w:rFonts w:cstheme="minorHAnsi"/>
          <w:b/>
          <w:i/>
        </w:rPr>
      </w:pPr>
      <w:r w:rsidRPr="00A550FE">
        <w:rPr>
          <w:rFonts w:cstheme="minorHAnsi"/>
          <w:b/>
          <w:i/>
        </w:rPr>
        <w:t>Inputs:</w:t>
      </w:r>
    </w:p>
    <w:p w:rsidR="00166552" w:rsidRPr="00A550FE" w:rsidRDefault="00166552" w:rsidP="00A550FE">
      <w:pPr>
        <w:spacing w:line="240" w:lineRule="auto"/>
        <w:ind w:left="0"/>
        <w:rPr>
          <w:rFonts w:cstheme="minorHAnsi"/>
        </w:rPr>
      </w:pPr>
      <w:r w:rsidRPr="00A550FE">
        <w:rPr>
          <w:rFonts w:cstheme="minorHAnsi"/>
        </w:rPr>
        <w:t xml:space="preserve">Task Force members attended the Spokane River Forum on November 15 and 16, 2017. The newly-revised Task Force poster display was used at the forum. </w:t>
      </w:r>
    </w:p>
    <w:p w:rsidR="00166552" w:rsidRPr="00A550FE" w:rsidRDefault="00166552" w:rsidP="00A550FE">
      <w:pPr>
        <w:spacing w:line="240" w:lineRule="auto"/>
        <w:ind w:left="0"/>
        <w:rPr>
          <w:rFonts w:cstheme="minorHAnsi"/>
          <w:b/>
          <w:i/>
        </w:rPr>
      </w:pPr>
      <w:r w:rsidRPr="00A550FE">
        <w:rPr>
          <w:rFonts w:cstheme="minorHAnsi"/>
          <w:b/>
          <w:i/>
        </w:rPr>
        <w:t>Outputs:</w:t>
      </w:r>
    </w:p>
    <w:p w:rsidR="00166552" w:rsidRPr="00A550FE" w:rsidRDefault="00166552" w:rsidP="00A550FE">
      <w:pPr>
        <w:spacing w:line="240" w:lineRule="auto"/>
        <w:ind w:left="0"/>
        <w:rPr>
          <w:rFonts w:cstheme="minorHAnsi"/>
        </w:rPr>
      </w:pPr>
      <w:r w:rsidRPr="00A550FE">
        <w:rPr>
          <w:rFonts w:cstheme="minorHAnsi"/>
          <w:b/>
        </w:rPr>
        <w:t xml:space="preserve">DECISION: </w:t>
      </w:r>
      <w:r w:rsidRPr="00A550FE">
        <w:rPr>
          <w:rFonts w:cstheme="minorHAnsi"/>
        </w:rPr>
        <w:t>The October 25</w:t>
      </w:r>
      <w:r w:rsidRPr="00A550FE">
        <w:rPr>
          <w:rFonts w:cstheme="minorHAnsi"/>
          <w:vertAlign w:val="superscript"/>
        </w:rPr>
        <w:t>th</w:t>
      </w:r>
      <w:r w:rsidRPr="00A550FE">
        <w:rPr>
          <w:rFonts w:cstheme="minorHAnsi"/>
        </w:rPr>
        <w:t xml:space="preserve">, 2017 Task Force meeting notes were approved with the minor spelling edit. </w:t>
      </w:r>
    </w:p>
    <w:p w:rsidR="00166552" w:rsidRPr="00A550FE" w:rsidRDefault="00166552" w:rsidP="00A550FE">
      <w:pPr>
        <w:spacing w:line="240" w:lineRule="auto"/>
        <w:ind w:left="0"/>
        <w:rPr>
          <w:rFonts w:cstheme="minorHAnsi"/>
        </w:rPr>
      </w:pPr>
      <w:r w:rsidRPr="00A550FE">
        <w:rPr>
          <w:rFonts w:cstheme="minorHAnsi"/>
          <w:b/>
        </w:rPr>
        <w:t xml:space="preserve">ACTION ITEM: </w:t>
      </w:r>
      <w:r w:rsidRPr="00A550FE">
        <w:rPr>
          <w:rFonts w:cstheme="minorHAnsi"/>
        </w:rPr>
        <w:t>Kara Whitman to make the minor edit and post the October 25, 2017 Task Force meeting notes to the Task Force website. (COMPLETE)</w:t>
      </w:r>
    </w:p>
    <w:p w:rsidR="00166552" w:rsidRPr="00A550FE" w:rsidRDefault="00166552" w:rsidP="00A550FE">
      <w:pPr>
        <w:spacing w:line="240" w:lineRule="auto"/>
        <w:ind w:left="0"/>
        <w:rPr>
          <w:rFonts w:cstheme="minorHAnsi"/>
        </w:rPr>
      </w:pPr>
      <w:r w:rsidRPr="00A550FE">
        <w:rPr>
          <w:rFonts w:cstheme="minorHAnsi"/>
          <w:b/>
        </w:rPr>
        <w:t xml:space="preserve">DECISION: </w:t>
      </w:r>
      <w:r w:rsidRPr="00A550FE">
        <w:rPr>
          <w:rFonts w:cstheme="minorHAnsi"/>
        </w:rPr>
        <w:t>The November 8, 2017 TTWG/SRRTTF Meeting Notes were approved</w:t>
      </w:r>
      <w:r w:rsidRPr="00A550FE">
        <w:rPr>
          <w:rFonts w:cstheme="minorHAnsi"/>
          <w:b/>
        </w:rPr>
        <w:t xml:space="preserve"> </w:t>
      </w:r>
      <w:r w:rsidRPr="00A550FE">
        <w:rPr>
          <w:rFonts w:cstheme="minorHAnsi"/>
        </w:rPr>
        <w:t xml:space="preserve">with edits discussed at the meeting.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Kara Whitman to make the minor edit and post the November 8, 2017 TTWG/Task Force meeting notes to the Task Force website. (COMPLETE)</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All Task Force members to reread the MOA and work to identify some items on how to execute the Comp Plan. Task Force functions – marching orders – define the process.  </w:t>
      </w:r>
    </w:p>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Spokane Regional Health District to provide a project scheduling/tracking sheet that they use that may be a good template for Task Force project tracking. (COMPLETE)</w:t>
      </w:r>
    </w:p>
    <w:p w:rsidR="00166552" w:rsidRPr="00A550FE" w:rsidRDefault="00166552" w:rsidP="00A550FE">
      <w:pPr>
        <w:spacing w:line="240" w:lineRule="auto"/>
        <w:ind w:left="0"/>
        <w:rPr>
          <w:rFonts w:cstheme="minorHAnsi"/>
        </w:rPr>
      </w:pPr>
      <w:bookmarkStart w:id="2" w:name="_Hlk500746515"/>
      <w:r w:rsidRPr="00A550FE">
        <w:rPr>
          <w:rFonts w:cstheme="minorHAnsi"/>
          <w:b/>
        </w:rPr>
        <w:t>ACTION ITEM:</w:t>
      </w:r>
      <w:r w:rsidRPr="00A550FE">
        <w:rPr>
          <w:rFonts w:cstheme="minorHAnsi"/>
        </w:rPr>
        <w:t xml:space="preserve"> Karin Baldwin to send out the budget and timeline from the contract to the Ruckelshaus for dissemination to the Task Force to assist in project lead development of scopes of work. (COMPLETE)</w:t>
      </w:r>
    </w:p>
    <w:bookmarkEnd w:id="2"/>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Brandee Era-Miller will send the revised report by Friday Dec. 1. Kara Whitman Could give it another week for review, would be best if Brandee sent out the revised report with the stipulation to have comments back to Brandee by Friday December 8</w:t>
      </w:r>
      <w:r w:rsidRPr="00A550FE">
        <w:rPr>
          <w:rFonts w:cstheme="minorHAnsi"/>
          <w:vertAlign w:val="superscript"/>
        </w:rPr>
        <w:t>th</w:t>
      </w:r>
      <w:r w:rsidRPr="00A550FE">
        <w:rPr>
          <w:rFonts w:cstheme="minorHAnsi"/>
        </w:rPr>
        <w:t>. (COMPLETE)</w:t>
      </w:r>
    </w:p>
    <w:p w:rsidR="00166552" w:rsidRPr="00A550FE" w:rsidRDefault="00166552" w:rsidP="00A550FE">
      <w:pPr>
        <w:spacing w:line="240" w:lineRule="auto"/>
        <w:ind w:left="0"/>
        <w:rPr>
          <w:rFonts w:cstheme="minorHAnsi"/>
        </w:rPr>
      </w:pPr>
      <w:bookmarkStart w:id="3" w:name="_Hlk500746540"/>
      <w:bookmarkStart w:id="4" w:name="_Hlk500746592"/>
      <w:r w:rsidRPr="00A550FE">
        <w:rPr>
          <w:rFonts w:cstheme="minorHAnsi"/>
          <w:b/>
        </w:rPr>
        <w:t>ACTION ITEM:</w:t>
      </w:r>
      <w:r w:rsidRPr="00A550FE">
        <w:rPr>
          <w:rFonts w:cstheme="minorHAnsi"/>
        </w:rPr>
        <w:t xml:space="preserve"> Ruckelshaus Center to pull list of Milestones agreed upon in the Comp Plan and note if they have been reached as part of the Implementation Review Summary (table 11 page 67). Is the Task Force accomplishing what they set out to do? If no, what needs to be done. (In progress, to be completed by January of 2018)</w:t>
      </w:r>
    </w:p>
    <w:bookmarkEnd w:id="3"/>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Ruckelshaus Center to provide links on the Task Force website to the Task Force member (permittee) Toxic Management Plans (TMPs) if and when they are available. (Ongoing)</w:t>
      </w:r>
    </w:p>
    <w:bookmarkEnd w:id="4"/>
    <w:p w:rsidR="00166552" w:rsidRPr="00A550FE" w:rsidRDefault="00166552" w:rsidP="00A550FE">
      <w:pPr>
        <w:spacing w:line="240" w:lineRule="auto"/>
        <w:ind w:left="0"/>
        <w:rPr>
          <w:rFonts w:cstheme="minorHAnsi"/>
        </w:rPr>
      </w:pPr>
      <w:r w:rsidRPr="00A550FE">
        <w:rPr>
          <w:rFonts w:cstheme="minorHAnsi"/>
          <w:b/>
        </w:rPr>
        <w:t>ACTION ITEM:</w:t>
      </w:r>
      <w:r w:rsidRPr="00A550FE">
        <w:rPr>
          <w:rFonts w:cstheme="minorHAnsi"/>
        </w:rPr>
        <w:t xml:space="preserve"> Mike Petersen to pull the scope of work together and a budget for phase two of the fungi study work to be discussed and/or decided upon for funding at the January 2018 Task Force meeting. </w:t>
      </w:r>
    </w:p>
    <w:p w:rsidR="00166552" w:rsidRPr="00A550FE" w:rsidRDefault="00166552" w:rsidP="00A550FE">
      <w:pPr>
        <w:spacing w:line="240" w:lineRule="auto"/>
        <w:ind w:left="0"/>
        <w:rPr>
          <w:rFonts w:cstheme="minorHAnsi"/>
        </w:rPr>
      </w:pPr>
    </w:p>
    <w:p w:rsidR="00166552" w:rsidRPr="00A550FE" w:rsidRDefault="00166552" w:rsidP="00A550FE">
      <w:pPr>
        <w:spacing w:line="240" w:lineRule="auto"/>
        <w:ind w:left="0"/>
        <w:rPr>
          <w:rFonts w:cstheme="minorHAnsi"/>
          <w:b/>
        </w:rPr>
      </w:pPr>
      <w:r w:rsidRPr="00A550FE">
        <w:rPr>
          <w:rFonts w:cstheme="minorHAnsi"/>
          <w:b/>
        </w:rPr>
        <w:t xml:space="preserve">December 2017: </w:t>
      </w:r>
    </w:p>
    <w:p w:rsidR="00F36ADC" w:rsidRPr="00A550FE" w:rsidRDefault="00166552" w:rsidP="00A550FE">
      <w:pPr>
        <w:spacing w:line="240" w:lineRule="auto"/>
        <w:ind w:left="0"/>
        <w:rPr>
          <w:rFonts w:cstheme="minorHAnsi"/>
        </w:rPr>
      </w:pPr>
      <w:r w:rsidRPr="00A550FE">
        <w:rPr>
          <w:rFonts w:cstheme="minorHAnsi"/>
        </w:rPr>
        <w:t>The Task Force did not hold any meetings in December. The Ruckelshaus Center compiled materials materials for the Comprehensive Plan Annual Implementation Review Summary and Task Force members provided feedback to Brandee Era-Miller on an Environmental Assessment Program report on monitoring done at the Spokane Tribal Boundary.</w:t>
      </w:r>
    </w:p>
    <w:sectPr w:rsidR="00F36ADC" w:rsidRPr="00A550FE" w:rsidSect="00534CA4">
      <w:headerReference w:type="even" r:id="rId88"/>
      <w:headerReference w:type="default" r:id="rId89"/>
      <w:headerReference w:type="firs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65" w:rsidRDefault="00535565" w:rsidP="00F36ADC">
      <w:pPr>
        <w:spacing w:line="240" w:lineRule="auto"/>
      </w:pPr>
      <w:r>
        <w:separator/>
      </w:r>
    </w:p>
  </w:endnote>
  <w:endnote w:type="continuationSeparator" w:id="0">
    <w:p w:rsidR="00535565" w:rsidRDefault="00535565" w:rsidP="00F36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65" w:rsidRDefault="00535565" w:rsidP="00F36ADC">
      <w:pPr>
        <w:spacing w:line="240" w:lineRule="auto"/>
      </w:pPr>
      <w:r>
        <w:separator/>
      </w:r>
    </w:p>
  </w:footnote>
  <w:footnote w:type="continuationSeparator" w:id="0">
    <w:p w:rsidR="00535565" w:rsidRDefault="00535565" w:rsidP="00F36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535565">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7659370" cy="717550"/>
              <wp:effectExtent l="0" t="2419350" r="0" b="2435225"/>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59370" cy="717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5565" w:rsidRDefault="00535565"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left:0;text-align:left;margin-left:0;margin-top:0;width:603.1pt;height:56.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" o:allowincell="f" filled="f" stroked="f">
              <v:stroke joinstyle="round"/>
              <o:lock v:ext="edit" shapetype="t"/>
              <v:textbox style="mso-fit-shape-to-text:t">
                <w:txbxContent>
                  <w:p w:rsidR="00535565" w:rsidRDefault="00535565"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535565">
    <w:pPr>
      <w:pStyle w:val="Header"/>
    </w:pPr>
    <w:r>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7659370" cy="717550"/>
              <wp:effectExtent l="0" t="2424430" r="0" b="243967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59370" cy="717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5565" w:rsidRDefault="00535565"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8" type="#_x0000_t202" style="position:absolute;left:0;text-align:left;margin-left:0;margin-top:0;width:603.1pt;height:56.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" o:allowincell="f" filled="f" stroked="f">
              <v:stroke joinstyle="round"/>
              <o:lock v:ext="edit" shapetype="t"/>
              <v:textbox style="mso-fit-shape-to-text:t">
                <w:txbxContent>
                  <w:p w:rsidR="00535565" w:rsidRDefault="00535565"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535565">
    <w:pPr>
      <w:pStyle w:val="Header"/>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7659370" cy="717550"/>
              <wp:effectExtent l="0" t="2419350" r="0" b="243522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59370" cy="717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5565" w:rsidRDefault="00535565"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9" type="#_x0000_t202" style="position:absolute;left:0;text-align:left;margin-left:0;margin-top:0;width:603.1pt;height:56.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" o:allowincell="f" filled="f" stroked="f">
              <v:stroke joinstyle="round"/>
              <o:lock v:ext="edit" shapetype="t"/>
              <v:textbox style="mso-fit-shape-to-text:t">
                <w:txbxContent>
                  <w:p w:rsidR="00535565" w:rsidRDefault="00535565"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4F6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603.1pt;height:56.5pt;rotation:315;z-index:-251650048;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4F6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603.1pt;height:56.5pt;rotation:315;z-index:-251649024;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4F6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603.1pt;height:56.5pt;rotation:315;z-index:-251651072;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4F6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19" o:spid="_x0000_s2050" type="#_x0000_t136" style="position:absolute;left:0;text-align:left;margin-left:0;margin-top:0;width:603.1pt;height:56.5pt;rotation:315;z-index:-251655168;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4F6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20" o:spid="_x0000_s2051" type="#_x0000_t136" style="position:absolute;left:0;text-align:left;margin-left:0;margin-top:0;width:603.1pt;height:56.5pt;rotation:315;z-index:-251653120;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65" w:rsidRDefault="004F6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18" o:spid="_x0000_s2049" type="#_x0000_t136" style="position:absolute;left:0;text-align:left;margin-left:0;margin-top:0;width:603.1pt;height:56.5pt;rotation:315;z-index:-251657216;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785"/>
    <w:multiLevelType w:val="hybridMultilevel"/>
    <w:tmpl w:val="9E28FDA6"/>
    <w:lvl w:ilvl="0" w:tplc="5546C7AA">
      <w:numFmt w:val="bullet"/>
      <w:lvlText w:val=""/>
      <w:lvlJc w:val="left"/>
      <w:pPr>
        <w:ind w:left="463" w:hanging="360"/>
      </w:pPr>
      <w:rPr>
        <w:rFonts w:ascii="Symbol" w:eastAsia="Symbol" w:hAnsi="Symbol" w:cs="Symbol" w:hint="default"/>
        <w:w w:val="100"/>
        <w:sz w:val="22"/>
        <w:szCs w:val="22"/>
      </w:rPr>
    </w:lvl>
    <w:lvl w:ilvl="1" w:tplc="41ACB6C6">
      <w:numFmt w:val="bullet"/>
      <w:lvlText w:val="•"/>
      <w:lvlJc w:val="left"/>
      <w:pPr>
        <w:ind w:left="664" w:hanging="360"/>
      </w:pPr>
      <w:rPr>
        <w:rFonts w:hint="default"/>
      </w:rPr>
    </w:lvl>
    <w:lvl w:ilvl="2" w:tplc="58FE8E64">
      <w:numFmt w:val="bullet"/>
      <w:lvlText w:val="•"/>
      <w:lvlJc w:val="left"/>
      <w:pPr>
        <w:ind w:left="868" w:hanging="360"/>
      </w:pPr>
      <w:rPr>
        <w:rFonts w:hint="default"/>
      </w:rPr>
    </w:lvl>
    <w:lvl w:ilvl="3" w:tplc="2A902074">
      <w:numFmt w:val="bullet"/>
      <w:lvlText w:val="•"/>
      <w:lvlJc w:val="left"/>
      <w:pPr>
        <w:ind w:left="1072" w:hanging="360"/>
      </w:pPr>
      <w:rPr>
        <w:rFonts w:hint="default"/>
      </w:rPr>
    </w:lvl>
    <w:lvl w:ilvl="4" w:tplc="898C379E">
      <w:numFmt w:val="bullet"/>
      <w:lvlText w:val="•"/>
      <w:lvlJc w:val="left"/>
      <w:pPr>
        <w:ind w:left="1277" w:hanging="360"/>
      </w:pPr>
      <w:rPr>
        <w:rFonts w:hint="default"/>
      </w:rPr>
    </w:lvl>
    <w:lvl w:ilvl="5" w:tplc="0AD01E9E">
      <w:numFmt w:val="bullet"/>
      <w:lvlText w:val="•"/>
      <w:lvlJc w:val="left"/>
      <w:pPr>
        <w:ind w:left="1481" w:hanging="360"/>
      </w:pPr>
      <w:rPr>
        <w:rFonts w:hint="default"/>
      </w:rPr>
    </w:lvl>
    <w:lvl w:ilvl="6" w:tplc="05CEFEAA">
      <w:numFmt w:val="bullet"/>
      <w:lvlText w:val="•"/>
      <w:lvlJc w:val="left"/>
      <w:pPr>
        <w:ind w:left="1685" w:hanging="360"/>
      </w:pPr>
      <w:rPr>
        <w:rFonts w:hint="default"/>
      </w:rPr>
    </w:lvl>
    <w:lvl w:ilvl="7" w:tplc="66EA920E">
      <w:numFmt w:val="bullet"/>
      <w:lvlText w:val="•"/>
      <w:lvlJc w:val="left"/>
      <w:pPr>
        <w:ind w:left="1890" w:hanging="360"/>
      </w:pPr>
      <w:rPr>
        <w:rFonts w:hint="default"/>
      </w:rPr>
    </w:lvl>
    <w:lvl w:ilvl="8" w:tplc="859644B0">
      <w:numFmt w:val="bullet"/>
      <w:lvlText w:val="•"/>
      <w:lvlJc w:val="left"/>
      <w:pPr>
        <w:ind w:left="2094" w:hanging="360"/>
      </w:pPr>
      <w:rPr>
        <w:rFonts w:hint="default"/>
      </w:rPr>
    </w:lvl>
  </w:abstractNum>
  <w:abstractNum w:abstractNumId="1" w15:restartNumberingAfterBreak="0">
    <w:nsid w:val="02064A9C"/>
    <w:multiLevelType w:val="hybridMultilevel"/>
    <w:tmpl w:val="196CC772"/>
    <w:lvl w:ilvl="0" w:tplc="FDB83F4A">
      <w:numFmt w:val="bullet"/>
      <w:lvlText w:val=""/>
      <w:lvlJc w:val="left"/>
      <w:pPr>
        <w:ind w:left="460" w:hanging="360"/>
      </w:pPr>
      <w:rPr>
        <w:rFonts w:ascii="Symbol" w:eastAsia="Symbol" w:hAnsi="Symbol" w:cs="Symbol" w:hint="default"/>
        <w:w w:val="100"/>
        <w:sz w:val="18"/>
        <w:szCs w:val="18"/>
      </w:rPr>
    </w:lvl>
    <w:lvl w:ilvl="1" w:tplc="45DC5526">
      <w:numFmt w:val="bullet"/>
      <w:lvlText w:val="•"/>
      <w:lvlJc w:val="left"/>
      <w:pPr>
        <w:ind w:left="665" w:hanging="360"/>
      </w:pPr>
      <w:rPr>
        <w:rFonts w:hint="default"/>
      </w:rPr>
    </w:lvl>
    <w:lvl w:ilvl="2" w:tplc="2ECCC552">
      <w:numFmt w:val="bullet"/>
      <w:lvlText w:val="•"/>
      <w:lvlJc w:val="left"/>
      <w:pPr>
        <w:ind w:left="870" w:hanging="360"/>
      </w:pPr>
      <w:rPr>
        <w:rFonts w:hint="default"/>
      </w:rPr>
    </w:lvl>
    <w:lvl w:ilvl="3" w:tplc="77183DF0">
      <w:numFmt w:val="bullet"/>
      <w:lvlText w:val="•"/>
      <w:lvlJc w:val="left"/>
      <w:pPr>
        <w:ind w:left="1075" w:hanging="360"/>
      </w:pPr>
      <w:rPr>
        <w:rFonts w:hint="default"/>
      </w:rPr>
    </w:lvl>
    <w:lvl w:ilvl="4" w:tplc="7A52103A">
      <w:numFmt w:val="bullet"/>
      <w:lvlText w:val="•"/>
      <w:lvlJc w:val="left"/>
      <w:pPr>
        <w:ind w:left="1280" w:hanging="360"/>
      </w:pPr>
      <w:rPr>
        <w:rFonts w:hint="default"/>
      </w:rPr>
    </w:lvl>
    <w:lvl w:ilvl="5" w:tplc="C4383FCE">
      <w:numFmt w:val="bullet"/>
      <w:lvlText w:val="•"/>
      <w:lvlJc w:val="left"/>
      <w:pPr>
        <w:ind w:left="1485" w:hanging="360"/>
      </w:pPr>
      <w:rPr>
        <w:rFonts w:hint="default"/>
      </w:rPr>
    </w:lvl>
    <w:lvl w:ilvl="6" w:tplc="29D8C062">
      <w:numFmt w:val="bullet"/>
      <w:lvlText w:val="•"/>
      <w:lvlJc w:val="left"/>
      <w:pPr>
        <w:ind w:left="1690" w:hanging="360"/>
      </w:pPr>
      <w:rPr>
        <w:rFonts w:hint="default"/>
      </w:rPr>
    </w:lvl>
    <w:lvl w:ilvl="7" w:tplc="FAFC4A10">
      <w:numFmt w:val="bullet"/>
      <w:lvlText w:val="•"/>
      <w:lvlJc w:val="left"/>
      <w:pPr>
        <w:ind w:left="1895" w:hanging="360"/>
      </w:pPr>
      <w:rPr>
        <w:rFonts w:hint="default"/>
      </w:rPr>
    </w:lvl>
    <w:lvl w:ilvl="8" w:tplc="9540321C">
      <w:numFmt w:val="bullet"/>
      <w:lvlText w:val="•"/>
      <w:lvlJc w:val="left"/>
      <w:pPr>
        <w:ind w:left="2100" w:hanging="360"/>
      </w:pPr>
      <w:rPr>
        <w:rFonts w:hint="default"/>
      </w:rPr>
    </w:lvl>
  </w:abstractNum>
  <w:abstractNum w:abstractNumId="2" w15:restartNumberingAfterBreak="0">
    <w:nsid w:val="02704139"/>
    <w:multiLevelType w:val="hybridMultilevel"/>
    <w:tmpl w:val="B5587184"/>
    <w:lvl w:ilvl="0" w:tplc="56986D80">
      <w:numFmt w:val="bullet"/>
      <w:lvlText w:val=""/>
      <w:lvlJc w:val="left"/>
      <w:pPr>
        <w:ind w:left="463" w:hanging="360"/>
      </w:pPr>
      <w:rPr>
        <w:rFonts w:ascii="Symbol" w:eastAsia="Symbol" w:hAnsi="Symbol" w:cs="Symbol" w:hint="default"/>
        <w:w w:val="100"/>
        <w:sz w:val="22"/>
        <w:szCs w:val="22"/>
      </w:rPr>
    </w:lvl>
    <w:lvl w:ilvl="1" w:tplc="5A7246E2">
      <w:numFmt w:val="bullet"/>
      <w:lvlText w:val="•"/>
      <w:lvlJc w:val="left"/>
      <w:pPr>
        <w:ind w:left="686" w:hanging="360"/>
      </w:pPr>
      <w:rPr>
        <w:rFonts w:hint="default"/>
      </w:rPr>
    </w:lvl>
    <w:lvl w:ilvl="2" w:tplc="9DBE2528">
      <w:numFmt w:val="bullet"/>
      <w:lvlText w:val="•"/>
      <w:lvlJc w:val="left"/>
      <w:pPr>
        <w:ind w:left="912" w:hanging="360"/>
      </w:pPr>
      <w:rPr>
        <w:rFonts w:hint="default"/>
      </w:rPr>
    </w:lvl>
    <w:lvl w:ilvl="3" w:tplc="EACC1C04">
      <w:numFmt w:val="bullet"/>
      <w:lvlText w:val="•"/>
      <w:lvlJc w:val="left"/>
      <w:pPr>
        <w:ind w:left="1138" w:hanging="360"/>
      </w:pPr>
      <w:rPr>
        <w:rFonts w:hint="default"/>
      </w:rPr>
    </w:lvl>
    <w:lvl w:ilvl="4" w:tplc="07EAE08A">
      <w:numFmt w:val="bullet"/>
      <w:lvlText w:val="•"/>
      <w:lvlJc w:val="left"/>
      <w:pPr>
        <w:ind w:left="1364" w:hanging="360"/>
      </w:pPr>
      <w:rPr>
        <w:rFonts w:hint="default"/>
      </w:rPr>
    </w:lvl>
    <w:lvl w:ilvl="5" w:tplc="91FE32B0">
      <w:numFmt w:val="bullet"/>
      <w:lvlText w:val="•"/>
      <w:lvlJc w:val="left"/>
      <w:pPr>
        <w:ind w:left="1590" w:hanging="360"/>
      </w:pPr>
      <w:rPr>
        <w:rFonts w:hint="default"/>
      </w:rPr>
    </w:lvl>
    <w:lvl w:ilvl="6" w:tplc="DB76C2F8">
      <w:numFmt w:val="bullet"/>
      <w:lvlText w:val="•"/>
      <w:lvlJc w:val="left"/>
      <w:pPr>
        <w:ind w:left="1816" w:hanging="360"/>
      </w:pPr>
      <w:rPr>
        <w:rFonts w:hint="default"/>
      </w:rPr>
    </w:lvl>
    <w:lvl w:ilvl="7" w:tplc="5DEC8D90">
      <w:numFmt w:val="bullet"/>
      <w:lvlText w:val="•"/>
      <w:lvlJc w:val="left"/>
      <w:pPr>
        <w:ind w:left="2042" w:hanging="360"/>
      </w:pPr>
      <w:rPr>
        <w:rFonts w:hint="default"/>
      </w:rPr>
    </w:lvl>
    <w:lvl w:ilvl="8" w:tplc="640C9264">
      <w:numFmt w:val="bullet"/>
      <w:lvlText w:val="•"/>
      <w:lvlJc w:val="left"/>
      <w:pPr>
        <w:ind w:left="2268" w:hanging="360"/>
      </w:pPr>
      <w:rPr>
        <w:rFonts w:hint="default"/>
      </w:rPr>
    </w:lvl>
  </w:abstractNum>
  <w:abstractNum w:abstractNumId="3" w15:restartNumberingAfterBreak="0">
    <w:nsid w:val="0B5B550F"/>
    <w:multiLevelType w:val="hybridMultilevel"/>
    <w:tmpl w:val="B624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A7ED6"/>
    <w:multiLevelType w:val="hybridMultilevel"/>
    <w:tmpl w:val="3E22218C"/>
    <w:lvl w:ilvl="0" w:tplc="804A245E">
      <w:numFmt w:val="bullet"/>
      <w:lvlText w:val=""/>
      <w:lvlJc w:val="left"/>
      <w:pPr>
        <w:ind w:left="463" w:hanging="360"/>
      </w:pPr>
      <w:rPr>
        <w:rFonts w:ascii="Symbol" w:eastAsia="Symbol" w:hAnsi="Symbol" w:cs="Symbol" w:hint="default"/>
        <w:w w:val="100"/>
        <w:sz w:val="18"/>
        <w:szCs w:val="18"/>
      </w:rPr>
    </w:lvl>
    <w:lvl w:ilvl="1" w:tplc="7228FADE">
      <w:numFmt w:val="bullet"/>
      <w:lvlText w:val="•"/>
      <w:lvlJc w:val="left"/>
      <w:pPr>
        <w:ind w:left="664" w:hanging="360"/>
      </w:pPr>
      <w:rPr>
        <w:rFonts w:hint="default"/>
      </w:rPr>
    </w:lvl>
    <w:lvl w:ilvl="2" w:tplc="BA9445C4">
      <w:numFmt w:val="bullet"/>
      <w:lvlText w:val="•"/>
      <w:lvlJc w:val="left"/>
      <w:pPr>
        <w:ind w:left="868" w:hanging="360"/>
      </w:pPr>
      <w:rPr>
        <w:rFonts w:hint="default"/>
      </w:rPr>
    </w:lvl>
    <w:lvl w:ilvl="3" w:tplc="C4E661CE">
      <w:numFmt w:val="bullet"/>
      <w:lvlText w:val="•"/>
      <w:lvlJc w:val="left"/>
      <w:pPr>
        <w:ind w:left="1072" w:hanging="360"/>
      </w:pPr>
      <w:rPr>
        <w:rFonts w:hint="default"/>
      </w:rPr>
    </w:lvl>
    <w:lvl w:ilvl="4" w:tplc="93B626E2">
      <w:numFmt w:val="bullet"/>
      <w:lvlText w:val="•"/>
      <w:lvlJc w:val="left"/>
      <w:pPr>
        <w:ind w:left="1277" w:hanging="360"/>
      </w:pPr>
      <w:rPr>
        <w:rFonts w:hint="default"/>
      </w:rPr>
    </w:lvl>
    <w:lvl w:ilvl="5" w:tplc="206E6E42">
      <w:numFmt w:val="bullet"/>
      <w:lvlText w:val="•"/>
      <w:lvlJc w:val="left"/>
      <w:pPr>
        <w:ind w:left="1481" w:hanging="360"/>
      </w:pPr>
      <w:rPr>
        <w:rFonts w:hint="default"/>
      </w:rPr>
    </w:lvl>
    <w:lvl w:ilvl="6" w:tplc="60B2E3EA">
      <w:numFmt w:val="bullet"/>
      <w:lvlText w:val="•"/>
      <w:lvlJc w:val="left"/>
      <w:pPr>
        <w:ind w:left="1685" w:hanging="360"/>
      </w:pPr>
      <w:rPr>
        <w:rFonts w:hint="default"/>
      </w:rPr>
    </w:lvl>
    <w:lvl w:ilvl="7" w:tplc="404049BC">
      <w:numFmt w:val="bullet"/>
      <w:lvlText w:val="•"/>
      <w:lvlJc w:val="left"/>
      <w:pPr>
        <w:ind w:left="1890" w:hanging="360"/>
      </w:pPr>
      <w:rPr>
        <w:rFonts w:hint="default"/>
      </w:rPr>
    </w:lvl>
    <w:lvl w:ilvl="8" w:tplc="20F021BA">
      <w:numFmt w:val="bullet"/>
      <w:lvlText w:val="•"/>
      <w:lvlJc w:val="left"/>
      <w:pPr>
        <w:ind w:left="2094" w:hanging="360"/>
      </w:pPr>
      <w:rPr>
        <w:rFonts w:hint="default"/>
      </w:rPr>
    </w:lvl>
  </w:abstractNum>
  <w:abstractNum w:abstractNumId="5" w15:restartNumberingAfterBreak="0">
    <w:nsid w:val="0FD2249E"/>
    <w:multiLevelType w:val="hybridMultilevel"/>
    <w:tmpl w:val="E2CC708E"/>
    <w:lvl w:ilvl="0" w:tplc="98EC00E2">
      <w:numFmt w:val="bullet"/>
      <w:lvlText w:val=""/>
      <w:lvlJc w:val="left"/>
      <w:pPr>
        <w:ind w:left="463" w:hanging="360"/>
      </w:pPr>
      <w:rPr>
        <w:rFonts w:ascii="Symbol" w:eastAsia="Symbol" w:hAnsi="Symbol" w:cs="Symbol" w:hint="default"/>
        <w:w w:val="100"/>
        <w:sz w:val="22"/>
        <w:szCs w:val="22"/>
      </w:rPr>
    </w:lvl>
    <w:lvl w:ilvl="1" w:tplc="337CA0DA">
      <w:numFmt w:val="bullet"/>
      <w:lvlText w:val="•"/>
      <w:lvlJc w:val="left"/>
      <w:pPr>
        <w:ind w:left="686" w:hanging="360"/>
      </w:pPr>
      <w:rPr>
        <w:rFonts w:hint="default"/>
      </w:rPr>
    </w:lvl>
    <w:lvl w:ilvl="2" w:tplc="378A365C">
      <w:numFmt w:val="bullet"/>
      <w:lvlText w:val="•"/>
      <w:lvlJc w:val="left"/>
      <w:pPr>
        <w:ind w:left="912" w:hanging="360"/>
      </w:pPr>
      <w:rPr>
        <w:rFonts w:hint="default"/>
      </w:rPr>
    </w:lvl>
    <w:lvl w:ilvl="3" w:tplc="E10892E6">
      <w:numFmt w:val="bullet"/>
      <w:lvlText w:val="•"/>
      <w:lvlJc w:val="left"/>
      <w:pPr>
        <w:ind w:left="1138" w:hanging="360"/>
      </w:pPr>
      <w:rPr>
        <w:rFonts w:hint="default"/>
      </w:rPr>
    </w:lvl>
    <w:lvl w:ilvl="4" w:tplc="E4BED3BC">
      <w:numFmt w:val="bullet"/>
      <w:lvlText w:val="•"/>
      <w:lvlJc w:val="left"/>
      <w:pPr>
        <w:ind w:left="1364" w:hanging="360"/>
      </w:pPr>
      <w:rPr>
        <w:rFonts w:hint="default"/>
      </w:rPr>
    </w:lvl>
    <w:lvl w:ilvl="5" w:tplc="82A45F12">
      <w:numFmt w:val="bullet"/>
      <w:lvlText w:val="•"/>
      <w:lvlJc w:val="left"/>
      <w:pPr>
        <w:ind w:left="1590" w:hanging="360"/>
      </w:pPr>
      <w:rPr>
        <w:rFonts w:hint="default"/>
      </w:rPr>
    </w:lvl>
    <w:lvl w:ilvl="6" w:tplc="ABBE22B6">
      <w:numFmt w:val="bullet"/>
      <w:lvlText w:val="•"/>
      <w:lvlJc w:val="left"/>
      <w:pPr>
        <w:ind w:left="1816" w:hanging="360"/>
      </w:pPr>
      <w:rPr>
        <w:rFonts w:hint="default"/>
      </w:rPr>
    </w:lvl>
    <w:lvl w:ilvl="7" w:tplc="0980CEA6">
      <w:numFmt w:val="bullet"/>
      <w:lvlText w:val="•"/>
      <w:lvlJc w:val="left"/>
      <w:pPr>
        <w:ind w:left="2042" w:hanging="360"/>
      </w:pPr>
      <w:rPr>
        <w:rFonts w:hint="default"/>
      </w:rPr>
    </w:lvl>
    <w:lvl w:ilvl="8" w:tplc="2D520784">
      <w:numFmt w:val="bullet"/>
      <w:lvlText w:val="•"/>
      <w:lvlJc w:val="left"/>
      <w:pPr>
        <w:ind w:left="2268" w:hanging="360"/>
      </w:pPr>
      <w:rPr>
        <w:rFonts w:hint="default"/>
      </w:rPr>
    </w:lvl>
  </w:abstractNum>
  <w:abstractNum w:abstractNumId="6" w15:restartNumberingAfterBreak="0">
    <w:nsid w:val="11576621"/>
    <w:multiLevelType w:val="hybridMultilevel"/>
    <w:tmpl w:val="CE449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63F4A"/>
    <w:multiLevelType w:val="hybridMultilevel"/>
    <w:tmpl w:val="7CCE49A8"/>
    <w:lvl w:ilvl="0" w:tplc="10D6392E">
      <w:numFmt w:val="bullet"/>
      <w:lvlText w:val="o"/>
      <w:lvlJc w:val="left"/>
      <w:pPr>
        <w:ind w:left="283" w:hanging="180"/>
      </w:pPr>
      <w:rPr>
        <w:rFonts w:ascii="Courier New" w:eastAsia="Courier New" w:hAnsi="Courier New" w:cs="Courier New" w:hint="default"/>
        <w:w w:val="100"/>
        <w:sz w:val="18"/>
        <w:szCs w:val="18"/>
      </w:rPr>
    </w:lvl>
    <w:lvl w:ilvl="1" w:tplc="2A209ABC">
      <w:numFmt w:val="bullet"/>
      <w:lvlText w:val="•"/>
      <w:lvlJc w:val="left"/>
      <w:pPr>
        <w:ind w:left="502" w:hanging="180"/>
      </w:pPr>
      <w:rPr>
        <w:rFonts w:hint="default"/>
      </w:rPr>
    </w:lvl>
    <w:lvl w:ilvl="2" w:tplc="863C3E7C">
      <w:numFmt w:val="bullet"/>
      <w:lvlText w:val="•"/>
      <w:lvlJc w:val="left"/>
      <w:pPr>
        <w:ind w:left="724" w:hanging="180"/>
      </w:pPr>
      <w:rPr>
        <w:rFonts w:hint="default"/>
      </w:rPr>
    </w:lvl>
    <w:lvl w:ilvl="3" w:tplc="8378F598">
      <w:numFmt w:val="bullet"/>
      <w:lvlText w:val="•"/>
      <w:lvlJc w:val="left"/>
      <w:pPr>
        <w:ind w:left="946" w:hanging="180"/>
      </w:pPr>
      <w:rPr>
        <w:rFonts w:hint="default"/>
      </w:rPr>
    </w:lvl>
    <w:lvl w:ilvl="4" w:tplc="6EDA4390">
      <w:numFmt w:val="bullet"/>
      <w:lvlText w:val="•"/>
      <w:lvlJc w:val="left"/>
      <w:pPr>
        <w:ind w:left="1169" w:hanging="180"/>
      </w:pPr>
      <w:rPr>
        <w:rFonts w:hint="default"/>
      </w:rPr>
    </w:lvl>
    <w:lvl w:ilvl="5" w:tplc="566E2F84">
      <w:numFmt w:val="bullet"/>
      <w:lvlText w:val="•"/>
      <w:lvlJc w:val="left"/>
      <w:pPr>
        <w:ind w:left="1391" w:hanging="180"/>
      </w:pPr>
      <w:rPr>
        <w:rFonts w:hint="default"/>
      </w:rPr>
    </w:lvl>
    <w:lvl w:ilvl="6" w:tplc="340E498C">
      <w:numFmt w:val="bullet"/>
      <w:lvlText w:val="•"/>
      <w:lvlJc w:val="left"/>
      <w:pPr>
        <w:ind w:left="1613" w:hanging="180"/>
      </w:pPr>
      <w:rPr>
        <w:rFonts w:hint="default"/>
      </w:rPr>
    </w:lvl>
    <w:lvl w:ilvl="7" w:tplc="17D6BEA6">
      <w:numFmt w:val="bullet"/>
      <w:lvlText w:val="•"/>
      <w:lvlJc w:val="left"/>
      <w:pPr>
        <w:ind w:left="1836" w:hanging="180"/>
      </w:pPr>
      <w:rPr>
        <w:rFonts w:hint="default"/>
      </w:rPr>
    </w:lvl>
    <w:lvl w:ilvl="8" w:tplc="7040E978">
      <w:numFmt w:val="bullet"/>
      <w:lvlText w:val="•"/>
      <w:lvlJc w:val="left"/>
      <w:pPr>
        <w:ind w:left="2058" w:hanging="180"/>
      </w:pPr>
      <w:rPr>
        <w:rFonts w:hint="default"/>
      </w:rPr>
    </w:lvl>
  </w:abstractNum>
  <w:abstractNum w:abstractNumId="8" w15:restartNumberingAfterBreak="0">
    <w:nsid w:val="14650CEB"/>
    <w:multiLevelType w:val="hybridMultilevel"/>
    <w:tmpl w:val="71BE2166"/>
    <w:lvl w:ilvl="0" w:tplc="895C238A">
      <w:numFmt w:val="bullet"/>
      <w:lvlText w:val=""/>
      <w:lvlJc w:val="left"/>
      <w:pPr>
        <w:ind w:left="463" w:hanging="360"/>
      </w:pPr>
      <w:rPr>
        <w:rFonts w:ascii="Symbol" w:eastAsia="Symbol" w:hAnsi="Symbol" w:cs="Symbol" w:hint="default"/>
        <w:w w:val="100"/>
        <w:sz w:val="22"/>
        <w:szCs w:val="22"/>
      </w:rPr>
    </w:lvl>
    <w:lvl w:ilvl="1" w:tplc="A8241796">
      <w:numFmt w:val="bullet"/>
      <w:lvlText w:val="•"/>
      <w:lvlJc w:val="left"/>
      <w:pPr>
        <w:ind w:left="664" w:hanging="360"/>
      </w:pPr>
      <w:rPr>
        <w:rFonts w:hint="default"/>
      </w:rPr>
    </w:lvl>
    <w:lvl w:ilvl="2" w:tplc="5A389A38">
      <w:numFmt w:val="bullet"/>
      <w:lvlText w:val="•"/>
      <w:lvlJc w:val="left"/>
      <w:pPr>
        <w:ind w:left="868" w:hanging="360"/>
      </w:pPr>
      <w:rPr>
        <w:rFonts w:hint="default"/>
      </w:rPr>
    </w:lvl>
    <w:lvl w:ilvl="3" w:tplc="04FEFCEE">
      <w:numFmt w:val="bullet"/>
      <w:lvlText w:val="•"/>
      <w:lvlJc w:val="left"/>
      <w:pPr>
        <w:ind w:left="1072" w:hanging="360"/>
      </w:pPr>
      <w:rPr>
        <w:rFonts w:hint="default"/>
      </w:rPr>
    </w:lvl>
    <w:lvl w:ilvl="4" w:tplc="FD009A92">
      <w:numFmt w:val="bullet"/>
      <w:lvlText w:val="•"/>
      <w:lvlJc w:val="left"/>
      <w:pPr>
        <w:ind w:left="1277" w:hanging="360"/>
      </w:pPr>
      <w:rPr>
        <w:rFonts w:hint="default"/>
      </w:rPr>
    </w:lvl>
    <w:lvl w:ilvl="5" w:tplc="70A27262">
      <w:numFmt w:val="bullet"/>
      <w:lvlText w:val="•"/>
      <w:lvlJc w:val="left"/>
      <w:pPr>
        <w:ind w:left="1481" w:hanging="360"/>
      </w:pPr>
      <w:rPr>
        <w:rFonts w:hint="default"/>
      </w:rPr>
    </w:lvl>
    <w:lvl w:ilvl="6" w:tplc="79344CFA">
      <w:numFmt w:val="bullet"/>
      <w:lvlText w:val="•"/>
      <w:lvlJc w:val="left"/>
      <w:pPr>
        <w:ind w:left="1685" w:hanging="360"/>
      </w:pPr>
      <w:rPr>
        <w:rFonts w:hint="default"/>
      </w:rPr>
    </w:lvl>
    <w:lvl w:ilvl="7" w:tplc="7C3CA796">
      <w:numFmt w:val="bullet"/>
      <w:lvlText w:val="•"/>
      <w:lvlJc w:val="left"/>
      <w:pPr>
        <w:ind w:left="1890" w:hanging="360"/>
      </w:pPr>
      <w:rPr>
        <w:rFonts w:hint="default"/>
      </w:rPr>
    </w:lvl>
    <w:lvl w:ilvl="8" w:tplc="B71E7E2E">
      <w:numFmt w:val="bullet"/>
      <w:lvlText w:val="•"/>
      <w:lvlJc w:val="left"/>
      <w:pPr>
        <w:ind w:left="2094" w:hanging="360"/>
      </w:pPr>
      <w:rPr>
        <w:rFonts w:hint="default"/>
      </w:rPr>
    </w:lvl>
  </w:abstractNum>
  <w:abstractNum w:abstractNumId="9" w15:restartNumberingAfterBreak="0">
    <w:nsid w:val="15B31AFB"/>
    <w:multiLevelType w:val="hybridMultilevel"/>
    <w:tmpl w:val="7DA238BC"/>
    <w:lvl w:ilvl="0" w:tplc="E8E89C28">
      <w:numFmt w:val="bullet"/>
      <w:lvlText w:val=""/>
      <w:lvlJc w:val="left"/>
      <w:pPr>
        <w:ind w:left="463" w:hanging="360"/>
      </w:pPr>
      <w:rPr>
        <w:rFonts w:ascii="Symbol" w:eastAsia="Symbol" w:hAnsi="Symbol" w:cs="Symbol" w:hint="default"/>
        <w:w w:val="100"/>
        <w:sz w:val="22"/>
        <w:szCs w:val="22"/>
      </w:rPr>
    </w:lvl>
    <w:lvl w:ilvl="1" w:tplc="10107630">
      <w:numFmt w:val="bullet"/>
      <w:lvlText w:val="•"/>
      <w:lvlJc w:val="left"/>
      <w:pPr>
        <w:ind w:left="686" w:hanging="360"/>
      </w:pPr>
      <w:rPr>
        <w:rFonts w:hint="default"/>
      </w:rPr>
    </w:lvl>
    <w:lvl w:ilvl="2" w:tplc="AE30D33A">
      <w:numFmt w:val="bullet"/>
      <w:lvlText w:val="•"/>
      <w:lvlJc w:val="left"/>
      <w:pPr>
        <w:ind w:left="912" w:hanging="360"/>
      </w:pPr>
      <w:rPr>
        <w:rFonts w:hint="default"/>
      </w:rPr>
    </w:lvl>
    <w:lvl w:ilvl="3" w:tplc="D6E01086">
      <w:numFmt w:val="bullet"/>
      <w:lvlText w:val="•"/>
      <w:lvlJc w:val="left"/>
      <w:pPr>
        <w:ind w:left="1138" w:hanging="360"/>
      </w:pPr>
      <w:rPr>
        <w:rFonts w:hint="default"/>
      </w:rPr>
    </w:lvl>
    <w:lvl w:ilvl="4" w:tplc="375C13E8">
      <w:numFmt w:val="bullet"/>
      <w:lvlText w:val="•"/>
      <w:lvlJc w:val="left"/>
      <w:pPr>
        <w:ind w:left="1364" w:hanging="360"/>
      </w:pPr>
      <w:rPr>
        <w:rFonts w:hint="default"/>
      </w:rPr>
    </w:lvl>
    <w:lvl w:ilvl="5" w:tplc="22AA3106">
      <w:numFmt w:val="bullet"/>
      <w:lvlText w:val="•"/>
      <w:lvlJc w:val="left"/>
      <w:pPr>
        <w:ind w:left="1590" w:hanging="360"/>
      </w:pPr>
      <w:rPr>
        <w:rFonts w:hint="default"/>
      </w:rPr>
    </w:lvl>
    <w:lvl w:ilvl="6" w:tplc="14A07BC4">
      <w:numFmt w:val="bullet"/>
      <w:lvlText w:val="•"/>
      <w:lvlJc w:val="left"/>
      <w:pPr>
        <w:ind w:left="1816" w:hanging="360"/>
      </w:pPr>
      <w:rPr>
        <w:rFonts w:hint="default"/>
      </w:rPr>
    </w:lvl>
    <w:lvl w:ilvl="7" w:tplc="73F606FC">
      <w:numFmt w:val="bullet"/>
      <w:lvlText w:val="•"/>
      <w:lvlJc w:val="left"/>
      <w:pPr>
        <w:ind w:left="2042" w:hanging="360"/>
      </w:pPr>
      <w:rPr>
        <w:rFonts w:hint="default"/>
      </w:rPr>
    </w:lvl>
    <w:lvl w:ilvl="8" w:tplc="644066A4">
      <w:numFmt w:val="bullet"/>
      <w:lvlText w:val="•"/>
      <w:lvlJc w:val="left"/>
      <w:pPr>
        <w:ind w:left="2268" w:hanging="360"/>
      </w:pPr>
      <w:rPr>
        <w:rFonts w:hint="default"/>
      </w:rPr>
    </w:lvl>
  </w:abstractNum>
  <w:abstractNum w:abstractNumId="10" w15:restartNumberingAfterBreak="0">
    <w:nsid w:val="174277AE"/>
    <w:multiLevelType w:val="hybridMultilevel"/>
    <w:tmpl w:val="4002DF2A"/>
    <w:lvl w:ilvl="0" w:tplc="0AC45652">
      <w:numFmt w:val="bullet"/>
      <w:lvlText w:val=""/>
      <w:lvlJc w:val="left"/>
      <w:pPr>
        <w:ind w:left="460" w:hanging="360"/>
      </w:pPr>
      <w:rPr>
        <w:rFonts w:ascii="Symbol" w:eastAsia="Symbol" w:hAnsi="Symbol" w:cs="Symbol" w:hint="default"/>
        <w:w w:val="100"/>
        <w:sz w:val="18"/>
        <w:szCs w:val="18"/>
      </w:rPr>
    </w:lvl>
    <w:lvl w:ilvl="1" w:tplc="E592964C">
      <w:numFmt w:val="bullet"/>
      <w:lvlText w:val="•"/>
      <w:lvlJc w:val="left"/>
      <w:pPr>
        <w:ind w:left="665" w:hanging="360"/>
      </w:pPr>
      <w:rPr>
        <w:rFonts w:hint="default"/>
      </w:rPr>
    </w:lvl>
    <w:lvl w:ilvl="2" w:tplc="4988606A">
      <w:numFmt w:val="bullet"/>
      <w:lvlText w:val="•"/>
      <w:lvlJc w:val="left"/>
      <w:pPr>
        <w:ind w:left="870" w:hanging="360"/>
      </w:pPr>
      <w:rPr>
        <w:rFonts w:hint="default"/>
      </w:rPr>
    </w:lvl>
    <w:lvl w:ilvl="3" w:tplc="51D6E51E">
      <w:numFmt w:val="bullet"/>
      <w:lvlText w:val="•"/>
      <w:lvlJc w:val="left"/>
      <w:pPr>
        <w:ind w:left="1075" w:hanging="360"/>
      </w:pPr>
      <w:rPr>
        <w:rFonts w:hint="default"/>
      </w:rPr>
    </w:lvl>
    <w:lvl w:ilvl="4" w:tplc="540A539E">
      <w:numFmt w:val="bullet"/>
      <w:lvlText w:val="•"/>
      <w:lvlJc w:val="left"/>
      <w:pPr>
        <w:ind w:left="1280" w:hanging="360"/>
      </w:pPr>
      <w:rPr>
        <w:rFonts w:hint="default"/>
      </w:rPr>
    </w:lvl>
    <w:lvl w:ilvl="5" w:tplc="3B5A71B0">
      <w:numFmt w:val="bullet"/>
      <w:lvlText w:val="•"/>
      <w:lvlJc w:val="left"/>
      <w:pPr>
        <w:ind w:left="1485" w:hanging="360"/>
      </w:pPr>
      <w:rPr>
        <w:rFonts w:hint="default"/>
      </w:rPr>
    </w:lvl>
    <w:lvl w:ilvl="6" w:tplc="CC9C0AF6">
      <w:numFmt w:val="bullet"/>
      <w:lvlText w:val="•"/>
      <w:lvlJc w:val="left"/>
      <w:pPr>
        <w:ind w:left="1690" w:hanging="360"/>
      </w:pPr>
      <w:rPr>
        <w:rFonts w:hint="default"/>
      </w:rPr>
    </w:lvl>
    <w:lvl w:ilvl="7" w:tplc="EDB026F2">
      <w:numFmt w:val="bullet"/>
      <w:lvlText w:val="•"/>
      <w:lvlJc w:val="left"/>
      <w:pPr>
        <w:ind w:left="1895" w:hanging="360"/>
      </w:pPr>
      <w:rPr>
        <w:rFonts w:hint="default"/>
      </w:rPr>
    </w:lvl>
    <w:lvl w:ilvl="8" w:tplc="70889DDA">
      <w:numFmt w:val="bullet"/>
      <w:lvlText w:val="•"/>
      <w:lvlJc w:val="left"/>
      <w:pPr>
        <w:ind w:left="2100" w:hanging="360"/>
      </w:pPr>
      <w:rPr>
        <w:rFonts w:hint="default"/>
      </w:rPr>
    </w:lvl>
  </w:abstractNum>
  <w:abstractNum w:abstractNumId="11" w15:restartNumberingAfterBreak="0">
    <w:nsid w:val="17607F25"/>
    <w:multiLevelType w:val="hybridMultilevel"/>
    <w:tmpl w:val="057014D4"/>
    <w:lvl w:ilvl="0" w:tplc="80A0FE5C">
      <w:numFmt w:val="bullet"/>
      <w:lvlText w:val=""/>
      <w:lvlJc w:val="left"/>
      <w:pPr>
        <w:ind w:left="460" w:hanging="360"/>
      </w:pPr>
      <w:rPr>
        <w:rFonts w:ascii="Symbol" w:eastAsia="Symbol" w:hAnsi="Symbol" w:cs="Symbol" w:hint="default"/>
        <w:w w:val="100"/>
        <w:sz w:val="18"/>
        <w:szCs w:val="18"/>
      </w:rPr>
    </w:lvl>
    <w:lvl w:ilvl="1" w:tplc="C0344298">
      <w:numFmt w:val="bullet"/>
      <w:lvlText w:val="•"/>
      <w:lvlJc w:val="left"/>
      <w:pPr>
        <w:ind w:left="665" w:hanging="360"/>
      </w:pPr>
      <w:rPr>
        <w:rFonts w:hint="default"/>
      </w:rPr>
    </w:lvl>
    <w:lvl w:ilvl="2" w:tplc="3BD82C9E">
      <w:numFmt w:val="bullet"/>
      <w:lvlText w:val="•"/>
      <w:lvlJc w:val="left"/>
      <w:pPr>
        <w:ind w:left="870" w:hanging="360"/>
      </w:pPr>
      <w:rPr>
        <w:rFonts w:hint="default"/>
      </w:rPr>
    </w:lvl>
    <w:lvl w:ilvl="3" w:tplc="0E42778A">
      <w:numFmt w:val="bullet"/>
      <w:lvlText w:val="•"/>
      <w:lvlJc w:val="left"/>
      <w:pPr>
        <w:ind w:left="1075" w:hanging="360"/>
      </w:pPr>
      <w:rPr>
        <w:rFonts w:hint="default"/>
      </w:rPr>
    </w:lvl>
    <w:lvl w:ilvl="4" w:tplc="82D490A8">
      <w:numFmt w:val="bullet"/>
      <w:lvlText w:val="•"/>
      <w:lvlJc w:val="left"/>
      <w:pPr>
        <w:ind w:left="1280" w:hanging="360"/>
      </w:pPr>
      <w:rPr>
        <w:rFonts w:hint="default"/>
      </w:rPr>
    </w:lvl>
    <w:lvl w:ilvl="5" w:tplc="E81624F6">
      <w:numFmt w:val="bullet"/>
      <w:lvlText w:val="•"/>
      <w:lvlJc w:val="left"/>
      <w:pPr>
        <w:ind w:left="1485" w:hanging="360"/>
      </w:pPr>
      <w:rPr>
        <w:rFonts w:hint="default"/>
      </w:rPr>
    </w:lvl>
    <w:lvl w:ilvl="6" w:tplc="59241242">
      <w:numFmt w:val="bullet"/>
      <w:lvlText w:val="•"/>
      <w:lvlJc w:val="left"/>
      <w:pPr>
        <w:ind w:left="1690" w:hanging="360"/>
      </w:pPr>
      <w:rPr>
        <w:rFonts w:hint="default"/>
      </w:rPr>
    </w:lvl>
    <w:lvl w:ilvl="7" w:tplc="C7FA4F46">
      <w:numFmt w:val="bullet"/>
      <w:lvlText w:val="•"/>
      <w:lvlJc w:val="left"/>
      <w:pPr>
        <w:ind w:left="1895" w:hanging="360"/>
      </w:pPr>
      <w:rPr>
        <w:rFonts w:hint="default"/>
      </w:rPr>
    </w:lvl>
    <w:lvl w:ilvl="8" w:tplc="AF5AB890">
      <w:numFmt w:val="bullet"/>
      <w:lvlText w:val="•"/>
      <w:lvlJc w:val="left"/>
      <w:pPr>
        <w:ind w:left="2100" w:hanging="360"/>
      </w:pPr>
      <w:rPr>
        <w:rFonts w:hint="default"/>
      </w:rPr>
    </w:lvl>
  </w:abstractNum>
  <w:abstractNum w:abstractNumId="12" w15:restartNumberingAfterBreak="0">
    <w:nsid w:val="18053EC7"/>
    <w:multiLevelType w:val="hybridMultilevel"/>
    <w:tmpl w:val="33162DFC"/>
    <w:lvl w:ilvl="0" w:tplc="71508EA6">
      <w:numFmt w:val="bullet"/>
      <w:lvlText w:val=""/>
      <w:lvlJc w:val="left"/>
      <w:pPr>
        <w:ind w:left="463" w:hanging="360"/>
      </w:pPr>
      <w:rPr>
        <w:rFonts w:ascii="Symbol" w:eastAsia="Symbol" w:hAnsi="Symbol" w:cs="Symbol" w:hint="default"/>
        <w:w w:val="100"/>
        <w:sz w:val="18"/>
        <w:szCs w:val="18"/>
      </w:rPr>
    </w:lvl>
    <w:lvl w:ilvl="1" w:tplc="07C096E2">
      <w:numFmt w:val="bullet"/>
      <w:lvlText w:val="•"/>
      <w:lvlJc w:val="left"/>
      <w:pPr>
        <w:ind w:left="686" w:hanging="360"/>
      </w:pPr>
      <w:rPr>
        <w:rFonts w:hint="default"/>
      </w:rPr>
    </w:lvl>
    <w:lvl w:ilvl="2" w:tplc="08564B38">
      <w:numFmt w:val="bullet"/>
      <w:lvlText w:val="•"/>
      <w:lvlJc w:val="left"/>
      <w:pPr>
        <w:ind w:left="912" w:hanging="360"/>
      </w:pPr>
      <w:rPr>
        <w:rFonts w:hint="default"/>
      </w:rPr>
    </w:lvl>
    <w:lvl w:ilvl="3" w:tplc="03B4520A">
      <w:numFmt w:val="bullet"/>
      <w:lvlText w:val="•"/>
      <w:lvlJc w:val="left"/>
      <w:pPr>
        <w:ind w:left="1138" w:hanging="360"/>
      </w:pPr>
      <w:rPr>
        <w:rFonts w:hint="default"/>
      </w:rPr>
    </w:lvl>
    <w:lvl w:ilvl="4" w:tplc="AB6A7984">
      <w:numFmt w:val="bullet"/>
      <w:lvlText w:val="•"/>
      <w:lvlJc w:val="left"/>
      <w:pPr>
        <w:ind w:left="1364" w:hanging="360"/>
      </w:pPr>
      <w:rPr>
        <w:rFonts w:hint="default"/>
      </w:rPr>
    </w:lvl>
    <w:lvl w:ilvl="5" w:tplc="44027D6C">
      <w:numFmt w:val="bullet"/>
      <w:lvlText w:val="•"/>
      <w:lvlJc w:val="left"/>
      <w:pPr>
        <w:ind w:left="1590" w:hanging="360"/>
      </w:pPr>
      <w:rPr>
        <w:rFonts w:hint="default"/>
      </w:rPr>
    </w:lvl>
    <w:lvl w:ilvl="6" w:tplc="1BEC6E40">
      <w:numFmt w:val="bullet"/>
      <w:lvlText w:val="•"/>
      <w:lvlJc w:val="left"/>
      <w:pPr>
        <w:ind w:left="1816" w:hanging="360"/>
      </w:pPr>
      <w:rPr>
        <w:rFonts w:hint="default"/>
      </w:rPr>
    </w:lvl>
    <w:lvl w:ilvl="7" w:tplc="0FCEA1EE">
      <w:numFmt w:val="bullet"/>
      <w:lvlText w:val="•"/>
      <w:lvlJc w:val="left"/>
      <w:pPr>
        <w:ind w:left="2042" w:hanging="360"/>
      </w:pPr>
      <w:rPr>
        <w:rFonts w:hint="default"/>
      </w:rPr>
    </w:lvl>
    <w:lvl w:ilvl="8" w:tplc="9256697A">
      <w:numFmt w:val="bullet"/>
      <w:lvlText w:val="•"/>
      <w:lvlJc w:val="left"/>
      <w:pPr>
        <w:ind w:left="2268" w:hanging="360"/>
      </w:pPr>
      <w:rPr>
        <w:rFonts w:hint="default"/>
      </w:rPr>
    </w:lvl>
  </w:abstractNum>
  <w:abstractNum w:abstractNumId="13" w15:restartNumberingAfterBreak="0">
    <w:nsid w:val="1A6304D5"/>
    <w:multiLevelType w:val="hybridMultilevel"/>
    <w:tmpl w:val="3FCE1D2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1C02380C"/>
    <w:multiLevelType w:val="hybridMultilevel"/>
    <w:tmpl w:val="AE84B46C"/>
    <w:lvl w:ilvl="0" w:tplc="21760C44">
      <w:numFmt w:val="bullet"/>
      <w:lvlText w:val=""/>
      <w:lvlJc w:val="left"/>
      <w:pPr>
        <w:ind w:left="460" w:hanging="360"/>
      </w:pPr>
      <w:rPr>
        <w:rFonts w:ascii="Symbol" w:eastAsia="Symbol" w:hAnsi="Symbol" w:cs="Symbol" w:hint="default"/>
        <w:w w:val="100"/>
        <w:sz w:val="18"/>
        <w:szCs w:val="18"/>
      </w:rPr>
    </w:lvl>
    <w:lvl w:ilvl="1" w:tplc="00E221D6">
      <w:numFmt w:val="bullet"/>
      <w:lvlText w:val="•"/>
      <w:lvlJc w:val="left"/>
      <w:pPr>
        <w:ind w:left="665" w:hanging="360"/>
      </w:pPr>
      <w:rPr>
        <w:rFonts w:hint="default"/>
      </w:rPr>
    </w:lvl>
    <w:lvl w:ilvl="2" w:tplc="786C3DD4">
      <w:numFmt w:val="bullet"/>
      <w:lvlText w:val="•"/>
      <w:lvlJc w:val="left"/>
      <w:pPr>
        <w:ind w:left="870" w:hanging="360"/>
      </w:pPr>
      <w:rPr>
        <w:rFonts w:hint="default"/>
      </w:rPr>
    </w:lvl>
    <w:lvl w:ilvl="3" w:tplc="75803294">
      <w:numFmt w:val="bullet"/>
      <w:lvlText w:val="•"/>
      <w:lvlJc w:val="left"/>
      <w:pPr>
        <w:ind w:left="1075" w:hanging="360"/>
      </w:pPr>
      <w:rPr>
        <w:rFonts w:hint="default"/>
      </w:rPr>
    </w:lvl>
    <w:lvl w:ilvl="4" w:tplc="A5E00C2A">
      <w:numFmt w:val="bullet"/>
      <w:lvlText w:val="•"/>
      <w:lvlJc w:val="left"/>
      <w:pPr>
        <w:ind w:left="1280" w:hanging="360"/>
      </w:pPr>
      <w:rPr>
        <w:rFonts w:hint="default"/>
      </w:rPr>
    </w:lvl>
    <w:lvl w:ilvl="5" w:tplc="0D0CEF7C">
      <w:numFmt w:val="bullet"/>
      <w:lvlText w:val="•"/>
      <w:lvlJc w:val="left"/>
      <w:pPr>
        <w:ind w:left="1485" w:hanging="360"/>
      </w:pPr>
      <w:rPr>
        <w:rFonts w:hint="default"/>
      </w:rPr>
    </w:lvl>
    <w:lvl w:ilvl="6" w:tplc="184A1548">
      <w:numFmt w:val="bullet"/>
      <w:lvlText w:val="•"/>
      <w:lvlJc w:val="left"/>
      <w:pPr>
        <w:ind w:left="1690" w:hanging="360"/>
      </w:pPr>
      <w:rPr>
        <w:rFonts w:hint="default"/>
      </w:rPr>
    </w:lvl>
    <w:lvl w:ilvl="7" w:tplc="C0BEBA2C">
      <w:numFmt w:val="bullet"/>
      <w:lvlText w:val="•"/>
      <w:lvlJc w:val="left"/>
      <w:pPr>
        <w:ind w:left="1895" w:hanging="360"/>
      </w:pPr>
      <w:rPr>
        <w:rFonts w:hint="default"/>
      </w:rPr>
    </w:lvl>
    <w:lvl w:ilvl="8" w:tplc="C2EC926E">
      <w:numFmt w:val="bullet"/>
      <w:lvlText w:val="•"/>
      <w:lvlJc w:val="left"/>
      <w:pPr>
        <w:ind w:left="2100" w:hanging="360"/>
      </w:pPr>
      <w:rPr>
        <w:rFonts w:hint="default"/>
      </w:rPr>
    </w:lvl>
  </w:abstractNum>
  <w:abstractNum w:abstractNumId="15" w15:restartNumberingAfterBreak="0">
    <w:nsid w:val="1D8371BE"/>
    <w:multiLevelType w:val="hybridMultilevel"/>
    <w:tmpl w:val="A3F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80715"/>
    <w:multiLevelType w:val="hybridMultilevel"/>
    <w:tmpl w:val="CCD21292"/>
    <w:lvl w:ilvl="0" w:tplc="EE18944A">
      <w:numFmt w:val="bullet"/>
      <w:lvlText w:val=""/>
      <w:lvlJc w:val="left"/>
      <w:pPr>
        <w:ind w:left="460" w:hanging="360"/>
      </w:pPr>
      <w:rPr>
        <w:rFonts w:ascii="Symbol" w:eastAsia="Symbol" w:hAnsi="Symbol" w:cs="Symbol" w:hint="default"/>
        <w:w w:val="100"/>
        <w:sz w:val="18"/>
        <w:szCs w:val="18"/>
      </w:rPr>
    </w:lvl>
    <w:lvl w:ilvl="1" w:tplc="85B01054">
      <w:numFmt w:val="bullet"/>
      <w:lvlText w:val="•"/>
      <w:lvlJc w:val="left"/>
      <w:pPr>
        <w:ind w:left="637" w:hanging="360"/>
      </w:pPr>
      <w:rPr>
        <w:rFonts w:hint="default"/>
      </w:rPr>
    </w:lvl>
    <w:lvl w:ilvl="2" w:tplc="B1048778">
      <w:numFmt w:val="bullet"/>
      <w:lvlText w:val="•"/>
      <w:lvlJc w:val="left"/>
      <w:pPr>
        <w:ind w:left="815" w:hanging="360"/>
      </w:pPr>
      <w:rPr>
        <w:rFonts w:hint="default"/>
      </w:rPr>
    </w:lvl>
    <w:lvl w:ilvl="3" w:tplc="8082684A">
      <w:numFmt w:val="bullet"/>
      <w:lvlText w:val="•"/>
      <w:lvlJc w:val="left"/>
      <w:pPr>
        <w:ind w:left="993" w:hanging="360"/>
      </w:pPr>
      <w:rPr>
        <w:rFonts w:hint="default"/>
      </w:rPr>
    </w:lvl>
    <w:lvl w:ilvl="4" w:tplc="4D88BDAA">
      <w:numFmt w:val="bullet"/>
      <w:lvlText w:val="•"/>
      <w:lvlJc w:val="left"/>
      <w:pPr>
        <w:ind w:left="1171" w:hanging="360"/>
      </w:pPr>
      <w:rPr>
        <w:rFonts w:hint="default"/>
      </w:rPr>
    </w:lvl>
    <w:lvl w:ilvl="5" w:tplc="D30E41D4">
      <w:numFmt w:val="bullet"/>
      <w:lvlText w:val="•"/>
      <w:lvlJc w:val="left"/>
      <w:pPr>
        <w:ind w:left="1349" w:hanging="360"/>
      </w:pPr>
      <w:rPr>
        <w:rFonts w:hint="default"/>
      </w:rPr>
    </w:lvl>
    <w:lvl w:ilvl="6" w:tplc="EDEAE424">
      <w:numFmt w:val="bullet"/>
      <w:lvlText w:val="•"/>
      <w:lvlJc w:val="left"/>
      <w:pPr>
        <w:ind w:left="1527" w:hanging="360"/>
      </w:pPr>
      <w:rPr>
        <w:rFonts w:hint="default"/>
      </w:rPr>
    </w:lvl>
    <w:lvl w:ilvl="7" w:tplc="BCD2675A">
      <w:numFmt w:val="bullet"/>
      <w:lvlText w:val="•"/>
      <w:lvlJc w:val="left"/>
      <w:pPr>
        <w:ind w:left="1705" w:hanging="360"/>
      </w:pPr>
      <w:rPr>
        <w:rFonts w:hint="default"/>
      </w:rPr>
    </w:lvl>
    <w:lvl w:ilvl="8" w:tplc="7B6E8B3E">
      <w:numFmt w:val="bullet"/>
      <w:lvlText w:val="•"/>
      <w:lvlJc w:val="left"/>
      <w:pPr>
        <w:ind w:left="1883" w:hanging="360"/>
      </w:pPr>
      <w:rPr>
        <w:rFonts w:hint="default"/>
      </w:rPr>
    </w:lvl>
  </w:abstractNum>
  <w:abstractNum w:abstractNumId="17" w15:restartNumberingAfterBreak="0">
    <w:nsid w:val="26457077"/>
    <w:multiLevelType w:val="hybridMultilevel"/>
    <w:tmpl w:val="39F854D6"/>
    <w:lvl w:ilvl="0" w:tplc="04090001">
      <w:start w:val="1"/>
      <w:numFmt w:val="bullet"/>
      <w:lvlText w:val=""/>
      <w:lvlJc w:val="left"/>
      <w:pPr>
        <w:ind w:left="720" w:hanging="360"/>
      </w:pPr>
      <w:rPr>
        <w:rFonts w:ascii="Symbol" w:hAnsi="Symbol"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612CA"/>
    <w:multiLevelType w:val="hybridMultilevel"/>
    <w:tmpl w:val="E11E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F5C6F"/>
    <w:multiLevelType w:val="hybridMultilevel"/>
    <w:tmpl w:val="A786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F24A7"/>
    <w:multiLevelType w:val="hybridMultilevel"/>
    <w:tmpl w:val="BB740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773C8D"/>
    <w:multiLevelType w:val="hybridMultilevel"/>
    <w:tmpl w:val="FD46241E"/>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8588E"/>
    <w:multiLevelType w:val="hybridMultilevel"/>
    <w:tmpl w:val="34D88E06"/>
    <w:lvl w:ilvl="0" w:tplc="F3B05E2C">
      <w:numFmt w:val="bullet"/>
      <w:lvlText w:val=""/>
      <w:lvlJc w:val="left"/>
      <w:pPr>
        <w:ind w:left="460" w:hanging="360"/>
      </w:pPr>
      <w:rPr>
        <w:rFonts w:ascii="Symbol" w:eastAsia="Symbol" w:hAnsi="Symbol" w:cs="Symbol" w:hint="default"/>
        <w:w w:val="100"/>
        <w:sz w:val="18"/>
        <w:szCs w:val="18"/>
      </w:rPr>
    </w:lvl>
    <w:lvl w:ilvl="1" w:tplc="3B0E045E">
      <w:numFmt w:val="bullet"/>
      <w:lvlText w:val="•"/>
      <w:lvlJc w:val="left"/>
      <w:pPr>
        <w:ind w:left="665" w:hanging="360"/>
      </w:pPr>
      <w:rPr>
        <w:rFonts w:hint="default"/>
      </w:rPr>
    </w:lvl>
    <w:lvl w:ilvl="2" w:tplc="C75A6DF6">
      <w:numFmt w:val="bullet"/>
      <w:lvlText w:val="•"/>
      <w:lvlJc w:val="left"/>
      <w:pPr>
        <w:ind w:left="870" w:hanging="360"/>
      </w:pPr>
      <w:rPr>
        <w:rFonts w:hint="default"/>
      </w:rPr>
    </w:lvl>
    <w:lvl w:ilvl="3" w:tplc="F244BBA6">
      <w:numFmt w:val="bullet"/>
      <w:lvlText w:val="•"/>
      <w:lvlJc w:val="left"/>
      <w:pPr>
        <w:ind w:left="1075" w:hanging="360"/>
      </w:pPr>
      <w:rPr>
        <w:rFonts w:hint="default"/>
      </w:rPr>
    </w:lvl>
    <w:lvl w:ilvl="4" w:tplc="6888A62E">
      <w:numFmt w:val="bullet"/>
      <w:lvlText w:val="•"/>
      <w:lvlJc w:val="left"/>
      <w:pPr>
        <w:ind w:left="1280" w:hanging="360"/>
      </w:pPr>
      <w:rPr>
        <w:rFonts w:hint="default"/>
      </w:rPr>
    </w:lvl>
    <w:lvl w:ilvl="5" w:tplc="CFF211D4">
      <w:numFmt w:val="bullet"/>
      <w:lvlText w:val="•"/>
      <w:lvlJc w:val="left"/>
      <w:pPr>
        <w:ind w:left="1485" w:hanging="360"/>
      </w:pPr>
      <w:rPr>
        <w:rFonts w:hint="default"/>
      </w:rPr>
    </w:lvl>
    <w:lvl w:ilvl="6" w:tplc="735C0406">
      <w:numFmt w:val="bullet"/>
      <w:lvlText w:val="•"/>
      <w:lvlJc w:val="left"/>
      <w:pPr>
        <w:ind w:left="1690" w:hanging="360"/>
      </w:pPr>
      <w:rPr>
        <w:rFonts w:hint="default"/>
      </w:rPr>
    </w:lvl>
    <w:lvl w:ilvl="7" w:tplc="B0620DC0">
      <w:numFmt w:val="bullet"/>
      <w:lvlText w:val="•"/>
      <w:lvlJc w:val="left"/>
      <w:pPr>
        <w:ind w:left="1895" w:hanging="360"/>
      </w:pPr>
      <w:rPr>
        <w:rFonts w:hint="default"/>
      </w:rPr>
    </w:lvl>
    <w:lvl w:ilvl="8" w:tplc="C70CCA58">
      <w:numFmt w:val="bullet"/>
      <w:lvlText w:val="•"/>
      <w:lvlJc w:val="left"/>
      <w:pPr>
        <w:ind w:left="2100" w:hanging="360"/>
      </w:pPr>
      <w:rPr>
        <w:rFonts w:hint="default"/>
      </w:rPr>
    </w:lvl>
  </w:abstractNum>
  <w:abstractNum w:abstractNumId="23" w15:restartNumberingAfterBreak="0">
    <w:nsid w:val="3334178F"/>
    <w:multiLevelType w:val="hybridMultilevel"/>
    <w:tmpl w:val="00DA2282"/>
    <w:lvl w:ilvl="0" w:tplc="247C2EDA">
      <w:numFmt w:val="bullet"/>
      <w:lvlText w:val=""/>
      <w:lvlJc w:val="left"/>
      <w:pPr>
        <w:ind w:left="463" w:hanging="360"/>
      </w:pPr>
      <w:rPr>
        <w:rFonts w:ascii="Symbol" w:eastAsia="Symbol" w:hAnsi="Symbol" w:cs="Symbol" w:hint="default"/>
        <w:w w:val="100"/>
        <w:sz w:val="22"/>
        <w:szCs w:val="22"/>
      </w:rPr>
    </w:lvl>
    <w:lvl w:ilvl="1" w:tplc="F0462BFE">
      <w:numFmt w:val="bullet"/>
      <w:lvlText w:val="•"/>
      <w:lvlJc w:val="left"/>
      <w:pPr>
        <w:ind w:left="664" w:hanging="360"/>
      </w:pPr>
      <w:rPr>
        <w:rFonts w:hint="default"/>
      </w:rPr>
    </w:lvl>
    <w:lvl w:ilvl="2" w:tplc="06B818FE">
      <w:numFmt w:val="bullet"/>
      <w:lvlText w:val="•"/>
      <w:lvlJc w:val="left"/>
      <w:pPr>
        <w:ind w:left="868" w:hanging="360"/>
      </w:pPr>
      <w:rPr>
        <w:rFonts w:hint="default"/>
      </w:rPr>
    </w:lvl>
    <w:lvl w:ilvl="3" w:tplc="3BAA4308">
      <w:numFmt w:val="bullet"/>
      <w:lvlText w:val="•"/>
      <w:lvlJc w:val="left"/>
      <w:pPr>
        <w:ind w:left="1072" w:hanging="360"/>
      </w:pPr>
      <w:rPr>
        <w:rFonts w:hint="default"/>
      </w:rPr>
    </w:lvl>
    <w:lvl w:ilvl="4" w:tplc="EF40F22E">
      <w:numFmt w:val="bullet"/>
      <w:lvlText w:val="•"/>
      <w:lvlJc w:val="left"/>
      <w:pPr>
        <w:ind w:left="1277" w:hanging="360"/>
      </w:pPr>
      <w:rPr>
        <w:rFonts w:hint="default"/>
      </w:rPr>
    </w:lvl>
    <w:lvl w:ilvl="5" w:tplc="85907CA0">
      <w:numFmt w:val="bullet"/>
      <w:lvlText w:val="•"/>
      <w:lvlJc w:val="left"/>
      <w:pPr>
        <w:ind w:left="1481" w:hanging="360"/>
      </w:pPr>
      <w:rPr>
        <w:rFonts w:hint="default"/>
      </w:rPr>
    </w:lvl>
    <w:lvl w:ilvl="6" w:tplc="646291E8">
      <w:numFmt w:val="bullet"/>
      <w:lvlText w:val="•"/>
      <w:lvlJc w:val="left"/>
      <w:pPr>
        <w:ind w:left="1685" w:hanging="360"/>
      </w:pPr>
      <w:rPr>
        <w:rFonts w:hint="default"/>
      </w:rPr>
    </w:lvl>
    <w:lvl w:ilvl="7" w:tplc="D84C99E6">
      <w:numFmt w:val="bullet"/>
      <w:lvlText w:val="•"/>
      <w:lvlJc w:val="left"/>
      <w:pPr>
        <w:ind w:left="1890" w:hanging="360"/>
      </w:pPr>
      <w:rPr>
        <w:rFonts w:hint="default"/>
      </w:rPr>
    </w:lvl>
    <w:lvl w:ilvl="8" w:tplc="B33C89EE">
      <w:numFmt w:val="bullet"/>
      <w:lvlText w:val="•"/>
      <w:lvlJc w:val="left"/>
      <w:pPr>
        <w:ind w:left="2094" w:hanging="360"/>
      </w:pPr>
      <w:rPr>
        <w:rFonts w:hint="default"/>
      </w:rPr>
    </w:lvl>
  </w:abstractNum>
  <w:abstractNum w:abstractNumId="24" w15:restartNumberingAfterBreak="0">
    <w:nsid w:val="36214F69"/>
    <w:multiLevelType w:val="hybridMultilevel"/>
    <w:tmpl w:val="62DE5658"/>
    <w:lvl w:ilvl="0" w:tplc="0409000F">
      <w:start w:val="1"/>
      <w:numFmt w:val="decimal"/>
      <w:lvlText w:val="%1."/>
      <w:lvlJc w:val="left"/>
      <w:pPr>
        <w:ind w:left="720" w:hanging="360"/>
      </w:pPr>
      <w:rPr>
        <w:rFonts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E739A"/>
    <w:multiLevelType w:val="hybridMultilevel"/>
    <w:tmpl w:val="9162E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D73954"/>
    <w:multiLevelType w:val="hybridMultilevel"/>
    <w:tmpl w:val="1BEC6D4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3DD72834"/>
    <w:multiLevelType w:val="hybridMultilevel"/>
    <w:tmpl w:val="17DEE458"/>
    <w:lvl w:ilvl="0" w:tplc="844A7D20">
      <w:numFmt w:val="bullet"/>
      <w:lvlText w:val=""/>
      <w:lvlJc w:val="left"/>
      <w:pPr>
        <w:ind w:left="463" w:hanging="360"/>
      </w:pPr>
      <w:rPr>
        <w:rFonts w:ascii="Symbol" w:eastAsia="Symbol" w:hAnsi="Symbol" w:cs="Symbol" w:hint="default"/>
        <w:w w:val="100"/>
        <w:sz w:val="22"/>
        <w:szCs w:val="22"/>
      </w:rPr>
    </w:lvl>
    <w:lvl w:ilvl="1" w:tplc="B212CFB2">
      <w:numFmt w:val="bullet"/>
      <w:lvlText w:val="•"/>
      <w:lvlJc w:val="left"/>
      <w:pPr>
        <w:ind w:left="686" w:hanging="360"/>
      </w:pPr>
      <w:rPr>
        <w:rFonts w:hint="default"/>
      </w:rPr>
    </w:lvl>
    <w:lvl w:ilvl="2" w:tplc="8E9805BA">
      <w:numFmt w:val="bullet"/>
      <w:lvlText w:val="•"/>
      <w:lvlJc w:val="left"/>
      <w:pPr>
        <w:ind w:left="912" w:hanging="360"/>
      </w:pPr>
      <w:rPr>
        <w:rFonts w:hint="default"/>
      </w:rPr>
    </w:lvl>
    <w:lvl w:ilvl="3" w:tplc="1A1E7230">
      <w:numFmt w:val="bullet"/>
      <w:lvlText w:val="•"/>
      <w:lvlJc w:val="left"/>
      <w:pPr>
        <w:ind w:left="1138" w:hanging="360"/>
      </w:pPr>
      <w:rPr>
        <w:rFonts w:hint="default"/>
      </w:rPr>
    </w:lvl>
    <w:lvl w:ilvl="4" w:tplc="14127798">
      <w:numFmt w:val="bullet"/>
      <w:lvlText w:val="•"/>
      <w:lvlJc w:val="left"/>
      <w:pPr>
        <w:ind w:left="1364" w:hanging="360"/>
      </w:pPr>
      <w:rPr>
        <w:rFonts w:hint="default"/>
      </w:rPr>
    </w:lvl>
    <w:lvl w:ilvl="5" w:tplc="845AE658">
      <w:numFmt w:val="bullet"/>
      <w:lvlText w:val="•"/>
      <w:lvlJc w:val="left"/>
      <w:pPr>
        <w:ind w:left="1590" w:hanging="360"/>
      </w:pPr>
      <w:rPr>
        <w:rFonts w:hint="default"/>
      </w:rPr>
    </w:lvl>
    <w:lvl w:ilvl="6" w:tplc="4462BB16">
      <w:numFmt w:val="bullet"/>
      <w:lvlText w:val="•"/>
      <w:lvlJc w:val="left"/>
      <w:pPr>
        <w:ind w:left="1816" w:hanging="360"/>
      </w:pPr>
      <w:rPr>
        <w:rFonts w:hint="default"/>
      </w:rPr>
    </w:lvl>
    <w:lvl w:ilvl="7" w:tplc="EE2800AC">
      <w:numFmt w:val="bullet"/>
      <w:lvlText w:val="•"/>
      <w:lvlJc w:val="left"/>
      <w:pPr>
        <w:ind w:left="2042" w:hanging="360"/>
      </w:pPr>
      <w:rPr>
        <w:rFonts w:hint="default"/>
      </w:rPr>
    </w:lvl>
    <w:lvl w:ilvl="8" w:tplc="01E872C4">
      <w:numFmt w:val="bullet"/>
      <w:lvlText w:val="•"/>
      <w:lvlJc w:val="left"/>
      <w:pPr>
        <w:ind w:left="2268" w:hanging="360"/>
      </w:pPr>
      <w:rPr>
        <w:rFonts w:hint="default"/>
      </w:rPr>
    </w:lvl>
  </w:abstractNum>
  <w:abstractNum w:abstractNumId="28" w15:restartNumberingAfterBreak="0">
    <w:nsid w:val="3DEF37E2"/>
    <w:multiLevelType w:val="hybridMultilevel"/>
    <w:tmpl w:val="17289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0A5433"/>
    <w:multiLevelType w:val="hybridMultilevel"/>
    <w:tmpl w:val="DCF0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54AC1"/>
    <w:multiLevelType w:val="hybridMultilevel"/>
    <w:tmpl w:val="42F875BE"/>
    <w:lvl w:ilvl="0" w:tplc="5D96E196">
      <w:numFmt w:val="bullet"/>
      <w:lvlText w:val=""/>
      <w:lvlJc w:val="left"/>
      <w:pPr>
        <w:ind w:left="463" w:hanging="360"/>
      </w:pPr>
      <w:rPr>
        <w:rFonts w:ascii="Symbol" w:eastAsia="Symbol" w:hAnsi="Symbol" w:cs="Symbol" w:hint="default"/>
        <w:w w:val="100"/>
        <w:sz w:val="22"/>
        <w:szCs w:val="22"/>
      </w:rPr>
    </w:lvl>
    <w:lvl w:ilvl="1" w:tplc="DD56E8A0">
      <w:numFmt w:val="bullet"/>
      <w:lvlText w:val="•"/>
      <w:lvlJc w:val="left"/>
      <w:pPr>
        <w:ind w:left="664" w:hanging="360"/>
      </w:pPr>
      <w:rPr>
        <w:rFonts w:hint="default"/>
      </w:rPr>
    </w:lvl>
    <w:lvl w:ilvl="2" w:tplc="D2DA84D2">
      <w:numFmt w:val="bullet"/>
      <w:lvlText w:val="•"/>
      <w:lvlJc w:val="left"/>
      <w:pPr>
        <w:ind w:left="868" w:hanging="360"/>
      </w:pPr>
      <w:rPr>
        <w:rFonts w:hint="default"/>
      </w:rPr>
    </w:lvl>
    <w:lvl w:ilvl="3" w:tplc="CCDA6EA0">
      <w:numFmt w:val="bullet"/>
      <w:lvlText w:val="•"/>
      <w:lvlJc w:val="left"/>
      <w:pPr>
        <w:ind w:left="1072" w:hanging="360"/>
      </w:pPr>
      <w:rPr>
        <w:rFonts w:hint="default"/>
      </w:rPr>
    </w:lvl>
    <w:lvl w:ilvl="4" w:tplc="6B921DA4">
      <w:numFmt w:val="bullet"/>
      <w:lvlText w:val="•"/>
      <w:lvlJc w:val="left"/>
      <w:pPr>
        <w:ind w:left="1277" w:hanging="360"/>
      </w:pPr>
      <w:rPr>
        <w:rFonts w:hint="default"/>
      </w:rPr>
    </w:lvl>
    <w:lvl w:ilvl="5" w:tplc="5F525EA6">
      <w:numFmt w:val="bullet"/>
      <w:lvlText w:val="•"/>
      <w:lvlJc w:val="left"/>
      <w:pPr>
        <w:ind w:left="1481" w:hanging="360"/>
      </w:pPr>
      <w:rPr>
        <w:rFonts w:hint="default"/>
      </w:rPr>
    </w:lvl>
    <w:lvl w:ilvl="6" w:tplc="8A22D420">
      <w:numFmt w:val="bullet"/>
      <w:lvlText w:val="•"/>
      <w:lvlJc w:val="left"/>
      <w:pPr>
        <w:ind w:left="1685" w:hanging="360"/>
      </w:pPr>
      <w:rPr>
        <w:rFonts w:hint="default"/>
      </w:rPr>
    </w:lvl>
    <w:lvl w:ilvl="7" w:tplc="6ADAB6E4">
      <w:numFmt w:val="bullet"/>
      <w:lvlText w:val="•"/>
      <w:lvlJc w:val="left"/>
      <w:pPr>
        <w:ind w:left="1890" w:hanging="360"/>
      </w:pPr>
      <w:rPr>
        <w:rFonts w:hint="default"/>
      </w:rPr>
    </w:lvl>
    <w:lvl w:ilvl="8" w:tplc="D1508878">
      <w:numFmt w:val="bullet"/>
      <w:lvlText w:val="•"/>
      <w:lvlJc w:val="left"/>
      <w:pPr>
        <w:ind w:left="2094" w:hanging="360"/>
      </w:pPr>
      <w:rPr>
        <w:rFonts w:hint="default"/>
      </w:rPr>
    </w:lvl>
  </w:abstractNum>
  <w:abstractNum w:abstractNumId="31" w15:restartNumberingAfterBreak="0">
    <w:nsid w:val="44DD187B"/>
    <w:multiLevelType w:val="multilevel"/>
    <w:tmpl w:val="9B6AE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E2FB4"/>
    <w:multiLevelType w:val="hybridMultilevel"/>
    <w:tmpl w:val="AA9E0AB8"/>
    <w:lvl w:ilvl="0" w:tplc="8D602F6A">
      <w:numFmt w:val="bullet"/>
      <w:lvlText w:val=""/>
      <w:lvlJc w:val="left"/>
      <w:pPr>
        <w:ind w:left="463" w:hanging="360"/>
      </w:pPr>
      <w:rPr>
        <w:rFonts w:ascii="Symbol" w:eastAsia="Symbol" w:hAnsi="Symbol" w:cs="Symbol" w:hint="default"/>
        <w:w w:val="100"/>
        <w:sz w:val="22"/>
        <w:szCs w:val="22"/>
      </w:rPr>
    </w:lvl>
    <w:lvl w:ilvl="1" w:tplc="55C4BA3C">
      <w:numFmt w:val="bullet"/>
      <w:lvlText w:val="•"/>
      <w:lvlJc w:val="left"/>
      <w:pPr>
        <w:ind w:left="664" w:hanging="360"/>
      </w:pPr>
      <w:rPr>
        <w:rFonts w:hint="default"/>
      </w:rPr>
    </w:lvl>
    <w:lvl w:ilvl="2" w:tplc="082E26AE">
      <w:numFmt w:val="bullet"/>
      <w:lvlText w:val="•"/>
      <w:lvlJc w:val="left"/>
      <w:pPr>
        <w:ind w:left="868" w:hanging="360"/>
      </w:pPr>
      <w:rPr>
        <w:rFonts w:hint="default"/>
      </w:rPr>
    </w:lvl>
    <w:lvl w:ilvl="3" w:tplc="3ABC92D0">
      <w:numFmt w:val="bullet"/>
      <w:lvlText w:val="•"/>
      <w:lvlJc w:val="left"/>
      <w:pPr>
        <w:ind w:left="1072" w:hanging="360"/>
      </w:pPr>
      <w:rPr>
        <w:rFonts w:hint="default"/>
      </w:rPr>
    </w:lvl>
    <w:lvl w:ilvl="4" w:tplc="B9987A0C">
      <w:numFmt w:val="bullet"/>
      <w:lvlText w:val="•"/>
      <w:lvlJc w:val="left"/>
      <w:pPr>
        <w:ind w:left="1277" w:hanging="360"/>
      </w:pPr>
      <w:rPr>
        <w:rFonts w:hint="default"/>
      </w:rPr>
    </w:lvl>
    <w:lvl w:ilvl="5" w:tplc="89DA0058">
      <w:numFmt w:val="bullet"/>
      <w:lvlText w:val="•"/>
      <w:lvlJc w:val="left"/>
      <w:pPr>
        <w:ind w:left="1481" w:hanging="360"/>
      </w:pPr>
      <w:rPr>
        <w:rFonts w:hint="default"/>
      </w:rPr>
    </w:lvl>
    <w:lvl w:ilvl="6" w:tplc="839EC74C">
      <w:numFmt w:val="bullet"/>
      <w:lvlText w:val="•"/>
      <w:lvlJc w:val="left"/>
      <w:pPr>
        <w:ind w:left="1685" w:hanging="360"/>
      </w:pPr>
      <w:rPr>
        <w:rFonts w:hint="default"/>
      </w:rPr>
    </w:lvl>
    <w:lvl w:ilvl="7" w:tplc="3E8AA2F2">
      <w:numFmt w:val="bullet"/>
      <w:lvlText w:val="•"/>
      <w:lvlJc w:val="left"/>
      <w:pPr>
        <w:ind w:left="1890" w:hanging="360"/>
      </w:pPr>
      <w:rPr>
        <w:rFonts w:hint="default"/>
      </w:rPr>
    </w:lvl>
    <w:lvl w:ilvl="8" w:tplc="CE3682C4">
      <w:numFmt w:val="bullet"/>
      <w:lvlText w:val="•"/>
      <w:lvlJc w:val="left"/>
      <w:pPr>
        <w:ind w:left="2094" w:hanging="360"/>
      </w:pPr>
      <w:rPr>
        <w:rFonts w:hint="default"/>
      </w:rPr>
    </w:lvl>
  </w:abstractNum>
  <w:abstractNum w:abstractNumId="33" w15:restartNumberingAfterBreak="0">
    <w:nsid w:val="5CCB187F"/>
    <w:multiLevelType w:val="hybridMultilevel"/>
    <w:tmpl w:val="DEC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51F22"/>
    <w:multiLevelType w:val="hybridMultilevel"/>
    <w:tmpl w:val="32B4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F6BBC"/>
    <w:multiLevelType w:val="hybridMultilevel"/>
    <w:tmpl w:val="BEF8E1D2"/>
    <w:lvl w:ilvl="0" w:tplc="C756CF52">
      <w:numFmt w:val="bullet"/>
      <w:lvlText w:val=""/>
      <w:lvlJc w:val="left"/>
      <w:pPr>
        <w:ind w:left="460" w:hanging="360"/>
      </w:pPr>
      <w:rPr>
        <w:rFonts w:ascii="Symbol" w:eastAsia="Symbol" w:hAnsi="Symbol" w:cs="Symbol" w:hint="default"/>
        <w:w w:val="100"/>
        <w:sz w:val="18"/>
        <w:szCs w:val="18"/>
      </w:rPr>
    </w:lvl>
    <w:lvl w:ilvl="1" w:tplc="2D1A8C4E">
      <w:numFmt w:val="bullet"/>
      <w:lvlText w:val="•"/>
      <w:lvlJc w:val="left"/>
      <w:pPr>
        <w:ind w:left="665" w:hanging="360"/>
      </w:pPr>
      <w:rPr>
        <w:rFonts w:hint="default"/>
      </w:rPr>
    </w:lvl>
    <w:lvl w:ilvl="2" w:tplc="325670E6">
      <w:numFmt w:val="bullet"/>
      <w:lvlText w:val="•"/>
      <w:lvlJc w:val="left"/>
      <w:pPr>
        <w:ind w:left="870" w:hanging="360"/>
      </w:pPr>
      <w:rPr>
        <w:rFonts w:hint="default"/>
      </w:rPr>
    </w:lvl>
    <w:lvl w:ilvl="3" w:tplc="ACD4EE42">
      <w:numFmt w:val="bullet"/>
      <w:lvlText w:val="•"/>
      <w:lvlJc w:val="left"/>
      <w:pPr>
        <w:ind w:left="1075" w:hanging="360"/>
      </w:pPr>
      <w:rPr>
        <w:rFonts w:hint="default"/>
      </w:rPr>
    </w:lvl>
    <w:lvl w:ilvl="4" w:tplc="F56CE540">
      <w:numFmt w:val="bullet"/>
      <w:lvlText w:val="•"/>
      <w:lvlJc w:val="left"/>
      <w:pPr>
        <w:ind w:left="1280" w:hanging="360"/>
      </w:pPr>
      <w:rPr>
        <w:rFonts w:hint="default"/>
      </w:rPr>
    </w:lvl>
    <w:lvl w:ilvl="5" w:tplc="73143190">
      <w:numFmt w:val="bullet"/>
      <w:lvlText w:val="•"/>
      <w:lvlJc w:val="left"/>
      <w:pPr>
        <w:ind w:left="1485" w:hanging="360"/>
      </w:pPr>
      <w:rPr>
        <w:rFonts w:hint="default"/>
      </w:rPr>
    </w:lvl>
    <w:lvl w:ilvl="6" w:tplc="AFFE39DE">
      <w:numFmt w:val="bullet"/>
      <w:lvlText w:val="•"/>
      <w:lvlJc w:val="left"/>
      <w:pPr>
        <w:ind w:left="1690" w:hanging="360"/>
      </w:pPr>
      <w:rPr>
        <w:rFonts w:hint="default"/>
      </w:rPr>
    </w:lvl>
    <w:lvl w:ilvl="7" w:tplc="5CB2A1E4">
      <w:numFmt w:val="bullet"/>
      <w:lvlText w:val="•"/>
      <w:lvlJc w:val="left"/>
      <w:pPr>
        <w:ind w:left="1895" w:hanging="360"/>
      </w:pPr>
      <w:rPr>
        <w:rFonts w:hint="default"/>
      </w:rPr>
    </w:lvl>
    <w:lvl w:ilvl="8" w:tplc="281ABEB6">
      <w:numFmt w:val="bullet"/>
      <w:lvlText w:val="•"/>
      <w:lvlJc w:val="left"/>
      <w:pPr>
        <w:ind w:left="2100" w:hanging="360"/>
      </w:pPr>
      <w:rPr>
        <w:rFonts w:hint="default"/>
      </w:rPr>
    </w:lvl>
  </w:abstractNum>
  <w:abstractNum w:abstractNumId="36" w15:restartNumberingAfterBreak="0">
    <w:nsid w:val="5F4B0969"/>
    <w:multiLevelType w:val="hybridMultilevel"/>
    <w:tmpl w:val="57E8BDF8"/>
    <w:lvl w:ilvl="0" w:tplc="8884AF2A">
      <w:numFmt w:val="bullet"/>
      <w:lvlText w:val=""/>
      <w:lvlJc w:val="left"/>
      <w:pPr>
        <w:ind w:left="463" w:hanging="360"/>
      </w:pPr>
      <w:rPr>
        <w:rFonts w:ascii="Symbol" w:eastAsia="Symbol" w:hAnsi="Symbol" w:cs="Symbol" w:hint="default"/>
        <w:w w:val="100"/>
        <w:sz w:val="22"/>
        <w:szCs w:val="22"/>
      </w:rPr>
    </w:lvl>
    <w:lvl w:ilvl="1" w:tplc="518A9428">
      <w:numFmt w:val="bullet"/>
      <w:lvlText w:val="•"/>
      <w:lvlJc w:val="left"/>
      <w:pPr>
        <w:ind w:left="664" w:hanging="360"/>
      </w:pPr>
      <w:rPr>
        <w:rFonts w:hint="default"/>
      </w:rPr>
    </w:lvl>
    <w:lvl w:ilvl="2" w:tplc="428410FC">
      <w:numFmt w:val="bullet"/>
      <w:lvlText w:val="•"/>
      <w:lvlJc w:val="left"/>
      <w:pPr>
        <w:ind w:left="868" w:hanging="360"/>
      </w:pPr>
      <w:rPr>
        <w:rFonts w:hint="default"/>
      </w:rPr>
    </w:lvl>
    <w:lvl w:ilvl="3" w:tplc="D82A76CE">
      <w:numFmt w:val="bullet"/>
      <w:lvlText w:val="•"/>
      <w:lvlJc w:val="left"/>
      <w:pPr>
        <w:ind w:left="1072" w:hanging="360"/>
      </w:pPr>
      <w:rPr>
        <w:rFonts w:hint="default"/>
      </w:rPr>
    </w:lvl>
    <w:lvl w:ilvl="4" w:tplc="1A9295C8">
      <w:numFmt w:val="bullet"/>
      <w:lvlText w:val="•"/>
      <w:lvlJc w:val="left"/>
      <w:pPr>
        <w:ind w:left="1277" w:hanging="360"/>
      </w:pPr>
      <w:rPr>
        <w:rFonts w:hint="default"/>
      </w:rPr>
    </w:lvl>
    <w:lvl w:ilvl="5" w:tplc="7E1C6A78">
      <w:numFmt w:val="bullet"/>
      <w:lvlText w:val="•"/>
      <w:lvlJc w:val="left"/>
      <w:pPr>
        <w:ind w:left="1481" w:hanging="360"/>
      </w:pPr>
      <w:rPr>
        <w:rFonts w:hint="default"/>
      </w:rPr>
    </w:lvl>
    <w:lvl w:ilvl="6" w:tplc="FAEAA666">
      <w:numFmt w:val="bullet"/>
      <w:lvlText w:val="•"/>
      <w:lvlJc w:val="left"/>
      <w:pPr>
        <w:ind w:left="1685" w:hanging="360"/>
      </w:pPr>
      <w:rPr>
        <w:rFonts w:hint="default"/>
      </w:rPr>
    </w:lvl>
    <w:lvl w:ilvl="7" w:tplc="1ABAB70A">
      <w:numFmt w:val="bullet"/>
      <w:lvlText w:val="•"/>
      <w:lvlJc w:val="left"/>
      <w:pPr>
        <w:ind w:left="1890" w:hanging="360"/>
      </w:pPr>
      <w:rPr>
        <w:rFonts w:hint="default"/>
      </w:rPr>
    </w:lvl>
    <w:lvl w:ilvl="8" w:tplc="AE86DCB8">
      <w:numFmt w:val="bullet"/>
      <w:lvlText w:val="•"/>
      <w:lvlJc w:val="left"/>
      <w:pPr>
        <w:ind w:left="2094" w:hanging="360"/>
      </w:pPr>
      <w:rPr>
        <w:rFonts w:hint="default"/>
      </w:rPr>
    </w:lvl>
  </w:abstractNum>
  <w:abstractNum w:abstractNumId="37" w15:restartNumberingAfterBreak="0">
    <w:nsid w:val="68821051"/>
    <w:multiLevelType w:val="hybridMultilevel"/>
    <w:tmpl w:val="37A29F46"/>
    <w:lvl w:ilvl="0" w:tplc="EFAE789A">
      <w:numFmt w:val="bullet"/>
      <w:lvlText w:val=""/>
      <w:lvlJc w:val="left"/>
      <w:pPr>
        <w:ind w:left="460" w:hanging="360"/>
      </w:pPr>
      <w:rPr>
        <w:rFonts w:ascii="Symbol" w:eastAsia="Symbol" w:hAnsi="Symbol" w:cs="Symbol" w:hint="default"/>
        <w:w w:val="100"/>
        <w:sz w:val="18"/>
        <w:szCs w:val="18"/>
      </w:rPr>
    </w:lvl>
    <w:lvl w:ilvl="1" w:tplc="4DA076BC">
      <w:numFmt w:val="bullet"/>
      <w:lvlText w:val="•"/>
      <w:lvlJc w:val="left"/>
      <w:pPr>
        <w:ind w:left="637" w:hanging="360"/>
      </w:pPr>
      <w:rPr>
        <w:rFonts w:hint="default"/>
      </w:rPr>
    </w:lvl>
    <w:lvl w:ilvl="2" w:tplc="ACDA92E2">
      <w:numFmt w:val="bullet"/>
      <w:lvlText w:val="•"/>
      <w:lvlJc w:val="left"/>
      <w:pPr>
        <w:ind w:left="815" w:hanging="360"/>
      </w:pPr>
      <w:rPr>
        <w:rFonts w:hint="default"/>
      </w:rPr>
    </w:lvl>
    <w:lvl w:ilvl="3" w:tplc="88DC0812">
      <w:numFmt w:val="bullet"/>
      <w:lvlText w:val="•"/>
      <w:lvlJc w:val="left"/>
      <w:pPr>
        <w:ind w:left="993" w:hanging="360"/>
      </w:pPr>
      <w:rPr>
        <w:rFonts w:hint="default"/>
      </w:rPr>
    </w:lvl>
    <w:lvl w:ilvl="4" w:tplc="0AE2F740">
      <w:numFmt w:val="bullet"/>
      <w:lvlText w:val="•"/>
      <w:lvlJc w:val="left"/>
      <w:pPr>
        <w:ind w:left="1171" w:hanging="360"/>
      </w:pPr>
      <w:rPr>
        <w:rFonts w:hint="default"/>
      </w:rPr>
    </w:lvl>
    <w:lvl w:ilvl="5" w:tplc="0370426E">
      <w:numFmt w:val="bullet"/>
      <w:lvlText w:val="•"/>
      <w:lvlJc w:val="left"/>
      <w:pPr>
        <w:ind w:left="1349" w:hanging="360"/>
      </w:pPr>
      <w:rPr>
        <w:rFonts w:hint="default"/>
      </w:rPr>
    </w:lvl>
    <w:lvl w:ilvl="6" w:tplc="FCD05D98">
      <w:numFmt w:val="bullet"/>
      <w:lvlText w:val="•"/>
      <w:lvlJc w:val="left"/>
      <w:pPr>
        <w:ind w:left="1527" w:hanging="360"/>
      </w:pPr>
      <w:rPr>
        <w:rFonts w:hint="default"/>
      </w:rPr>
    </w:lvl>
    <w:lvl w:ilvl="7" w:tplc="0D12A658">
      <w:numFmt w:val="bullet"/>
      <w:lvlText w:val="•"/>
      <w:lvlJc w:val="left"/>
      <w:pPr>
        <w:ind w:left="1705" w:hanging="360"/>
      </w:pPr>
      <w:rPr>
        <w:rFonts w:hint="default"/>
      </w:rPr>
    </w:lvl>
    <w:lvl w:ilvl="8" w:tplc="1EF85BFA">
      <w:numFmt w:val="bullet"/>
      <w:lvlText w:val="•"/>
      <w:lvlJc w:val="left"/>
      <w:pPr>
        <w:ind w:left="1883" w:hanging="360"/>
      </w:pPr>
      <w:rPr>
        <w:rFonts w:hint="default"/>
      </w:rPr>
    </w:lvl>
  </w:abstractNum>
  <w:abstractNum w:abstractNumId="38" w15:restartNumberingAfterBreak="0">
    <w:nsid w:val="68930C72"/>
    <w:multiLevelType w:val="hybridMultilevel"/>
    <w:tmpl w:val="3D44EA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96F0FB8"/>
    <w:multiLevelType w:val="hybridMultilevel"/>
    <w:tmpl w:val="8E66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C6370"/>
    <w:multiLevelType w:val="multilevel"/>
    <w:tmpl w:val="E5E28D96"/>
    <w:lvl w:ilvl="0">
      <w:start w:val="1"/>
      <w:numFmt w:val="upperLetter"/>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007BF4"/>
    <w:multiLevelType w:val="hybridMultilevel"/>
    <w:tmpl w:val="1CB238A8"/>
    <w:lvl w:ilvl="0" w:tplc="FD009966">
      <w:numFmt w:val="bullet"/>
      <w:lvlText w:val=""/>
      <w:lvlJc w:val="left"/>
      <w:pPr>
        <w:ind w:left="463" w:hanging="360"/>
      </w:pPr>
      <w:rPr>
        <w:rFonts w:ascii="Symbol" w:eastAsia="Symbol" w:hAnsi="Symbol" w:cs="Symbol" w:hint="default"/>
        <w:w w:val="100"/>
        <w:sz w:val="22"/>
        <w:szCs w:val="22"/>
      </w:rPr>
    </w:lvl>
    <w:lvl w:ilvl="1" w:tplc="56EAA250">
      <w:numFmt w:val="bullet"/>
      <w:lvlText w:val="•"/>
      <w:lvlJc w:val="left"/>
      <w:pPr>
        <w:ind w:left="686" w:hanging="360"/>
      </w:pPr>
      <w:rPr>
        <w:rFonts w:hint="default"/>
      </w:rPr>
    </w:lvl>
    <w:lvl w:ilvl="2" w:tplc="4C86105E">
      <w:numFmt w:val="bullet"/>
      <w:lvlText w:val="•"/>
      <w:lvlJc w:val="left"/>
      <w:pPr>
        <w:ind w:left="912" w:hanging="360"/>
      </w:pPr>
      <w:rPr>
        <w:rFonts w:hint="default"/>
      </w:rPr>
    </w:lvl>
    <w:lvl w:ilvl="3" w:tplc="24542086">
      <w:numFmt w:val="bullet"/>
      <w:lvlText w:val="•"/>
      <w:lvlJc w:val="left"/>
      <w:pPr>
        <w:ind w:left="1138" w:hanging="360"/>
      </w:pPr>
      <w:rPr>
        <w:rFonts w:hint="default"/>
      </w:rPr>
    </w:lvl>
    <w:lvl w:ilvl="4" w:tplc="10D6509E">
      <w:numFmt w:val="bullet"/>
      <w:lvlText w:val="•"/>
      <w:lvlJc w:val="left"/>
      <w:pPr>
        <w:ind w:left="1364" w:hanging="360"/>
      </w:pPr>
      <w:rPr>
        <w:rFonts w:hint="default"/>
      </w:rPr>
    </w:lvl>
    <w:lvl w:ilvl="5" w:tplc="2DFEE1A8">
      <w:numFmt w:val="bullet"/>
      <w:lvlText w:val="•"/>
      <w:lvlJc w:val="left"/>
      <w:pPr>
        <w:ind w:left="1590" w:hanging="360"/>
      </w:pPr>
      <w:rPr>
        <w:rFonts w:hint="default"/>
      </w:rPr>
    </w:lvl>
    <w:lvl w:ilvl="6" w:tplc="74204C66">
      <w:numFmt w:val="bullet"/>
      <w:lvlText w:val="•"/>
      <w:lvlJc w:val="left"/>
      <w:pPr>
        <w:ind w:left="1816" w:hanging="360"/>
      </w:pPr>
      <w:rPr>
        <w:rFonts w:hint="default"/>
      </w:rPr>
    </w:lvl>
    <w:lvl w:ilvl="7" w:tplc="59DE3196">
      <w:numFmt w:val="bullet"/>
      <w:lvlText w:val="•"/>
      <w:lvlJc w:val="left"/>
      <w:pPr>
        <w:ind w:left="2042" w:hanging="360"/>
      </w:pPr>
      <w:rPr>
        <w:rFonts w:hint="default"/>
      </w:rPr>
    </w:lvl>
    <w:lvl w:ilvl="8" w:tplc="8EAA996E">
      <w:numFmt w:val="bullet"/>
      <w:lvlText w:val="•"/>
      <w:lvlJc w:val="left"/>
      <w:pPr>
        <w:ind w:left="2268" w:hanging="360"/>
      </w:pPr>
      <w:rPr>
        <w:rFonts w:hint="default"/>
      </w:rPr>
    </w:lvl>
  </w:abstractNum>
  <w:abstractNum w:abstractNumId="42" w15:restartNumberingAfterBreak="0">
    <w:nsid w:val="742A408B"/>
    <w:multiLevelType w:val="hybridMultilevel"/>
    <w:tmpl w:val="8E4C9F86"/>
    <w:lvl w:ilvl="0" w:tplc="64C20318">
      <w:numFmt w:val="bullet"/>
      <w:lvlText w:val=""/>
      <w:lvlJc w:val="left"/>
      <w:pPr>
        <w:ind w:left="460" w:hanging="360"/>
      </w:pPr>
      <w:rPr>
        <w:rFonts w:ascii="Symbol" w:eastAsia="Symbol" w:hAnsi="Symbol" w:cs="Symbol" w:hint="default"/>
        <w:w w:val="100"/>
        <w:sz w:val="18"/>
        <w:szCs w:val="18"/>
      </w:rPr>
    </w:lvl>
    <w:lvl w:ilvl="1" w:tplc="E9B6B230">
      <w:numFmt w:val="bullet"/>
      <w:lvlText w:val="•"/>
      <w:lvlJc w:val="left"/>
      <w:pPr>
        <w:ind w:left="665" w:hanging="360"/>
      </w:pPr>
      <w:rPr>
        <w:rFonts w:hint="default"/>
      </w:rPr>
    </w:lvl>
    <w:lvl w:ilvl="2" w:tplc="4F6064BC">
      <w:numFmt w:val="bullet"/>
      <w:lvlText w:val="•"/>
      <w:lvlJc w:val="left"/>
      <w:pPr>
        <w:ind w:left="870" w:hanging="360"/>
      </w:pPr>
      <w:rPr>
        <w:rFonts w:hint="default"/>
      </w:rPr>
    </w:lvl>
    <w:lvl w:ilvl="3" w:tplc="1A5A62F2">
      <w:numFmt w:val="bullet"/>
      <w:lvlText w:val="•"/>
      <w:lvlJc w:val="left"/>
      <w:pPr>
        <w:ind w:left="1075" w:hanging="360"/>
      </w:pPr>
      <w:rPr>
        <w:rFonts w:hint="default"/>
      </w:rPr>
    </w:lvl>
    <w:lvl w:ilvl="4" w:tplc="66EABB28">
      <w:numFmt w:val="bullet"/>
      <w:lvlText w:val="•"/>
      <w:lvlJc w:val="left"/>
      <w:pPr>
        <w:ind w:left="1280" w:hanging="360"/>
      </w:pPr>
      <w:rPr>
        <w:rFonts w:hint="default"/>
      </w:rPr>
    </w:lvl>
    <w:lvl w:ilvl="5" w:tplc="5F8AAF4C">
      <w:numFmt w:val="bullet"/>
      <w:lvlText w:val="•"/>
      <w:lvlJc w:val="left"/>
      <w:pPr>
        <w:ind w:left="1485" w:hanging="360"/>
      </w:pPr>
      <w:rPr>
        <w:rFonts w:hint="default"/>
      </w:rPr>
    </w:lvl>
    <w:lvl w:ilvl="6" w:tplc="6AD27DDC">
      <w:numFmt w:val="bullet"/>
      <w:lvlText w:val="•"/>
      <w:lvlJc w:val="left"/>
      <w:pPr>
        <w:ind w:left="1690" w:hanging="360"/>
      </w:pPr>
      <w:rPr>
        <w:rFonts w:hint="default"/>
      </w:rPr>
    </w:lvl>
    <w:lvl w:ilvl="7" w:tplc="CD48EFFC">
      <w:numFmt w:val="bullet"/>
      <w:lvlText w:val="•"/>
      <w:lvlJc w:val="left"/>
      <w:pPr>
        <w:ind w:left="1895" w:hanging="360"/>
      </w:pPr>
      <w:rPr>
        <w:rFonts w:hint="default"/>
      </w:rPr>
    </w:lvl>
    <w:lvl w:ilvl="8" w:tplc="25383538">
      <w:numFmt w:val="bullet"/>
      <w:lvlText w:val="•"/>
      <w:lvlJc w:val="left"/>
      <w:pPr>
        <w:ind w:left="2100" w:hanging="360"/>
      </w:pPr>
      <w:rPr>
        <w:rFonts w:hint="default"/>
      </w:rPr>
    </w:lvl>
  </w:abstractNum>
  <w:abstractNum w:abstractNumId="43" w15:restartNumberingAfterBreak="0">
    <w:nsid w:val="75A463D8"/>
    <w:multiLevelType w:val="hybridMultilevel"/>
    <w:tmpl w:val="45702AA2"/>
    <w:lvl w:ilvl="0" w:tplc="F7F4163C">
      <w:numFmt w:val="bullet"/>
      <w:lvlText w:val=""/>
      <w:lvlJc w:val="left"/>
      <w:pPr>
        <w:ind w:left="460" w:hanging="360"/>
      </w:pPr>
      <w:rPr>
        <w:rFonts w:ascii="Symbol" w:eastAsia="Symbol" w:hAnsi="Symbol" w:cs="Symbol" w:hint="default"/>
        <w:w w:val="100"/>
        <w:sz w:val="18"/>
        <w:szCs w:val="18"/>
      </w:rPr>
    </w:lvl>
    <w:lvl w:ilvl="1" w:tplc="6492D314">
      <w:numFmt w:val="bullet"/>
      <w:lvlText w:val="•"/>
      <w:lvlJc w:val="left"/>
      <w:pPr>
        <w:ind w:left="665" w:hanging="360"/>
      </w:pPr>
      <w:rPr>
        <w:rFonts w:hint="default"/>
      </w:rPr>
    </w:lvl>
    <w:lvl w:ilvl="2" w:tplc="4D10E64E">
      <w:numFmt w:val="bullet"/>
      <w:lvlText w:val="•"/>
      <w:lvlJc w:val="left"/>
      <w:pPr>
        <w:ind w:left="870" w:hanging="360"/>
      </w:pPr>
      <w:rPr>
        <w:rFonts w:hint="default"/>
      </w:rPr>
    </w:lvl>
    <w:lvl w:ilvl="3" w:tplc="C4F0E820">
      <w:numFmt w:val="bullet"/>
      <w:lvlText w:val="•"/>
      <w:lvlJc w:val="left"/>
      <w:pPr>
        <w:ind w:left="1075" w:hanging="360"/>
      </w:pPr>
      <w:rPr>
        <w:rFonts w:hint="default"/>
      </w:rPr>
    </w:lvl>
    <w:lvl w:ilvl="4" w:tplc="B6FA2722">
      <w:numFmt w:val="bullet"/>
      <w:lvlText w:val="•"/>
      <w:lvlJc w:val="left"/>
      <w:pPr>
        <w:ind w:left="1280" w:hanging="360"/>
      </w:pPr>
      <w:rPr>
        <w:rFonts w:hint="default"/>
      </w:rPr>
    </w:lvl>
    <w:lvl w:ilvl="5" w:tplc="BA5249F6">
      <w:numFmt w:val="bullet"/>
      <w:lvlText w:val="•"/>
      <w:lvlJc w:val="left"/>
      <w:pPr>
        <w:ind w:left="1485" w:hanging="360"/>
      </w:pPr>
      <w:rPr>
        <w:rFonts w:hint="default"/>
      </w:rPr>
    </w:lvl>
    <w:lvl w:ilvl="6" w:tplc="C1B02398">
      <w:numFmt w:val="bullet"/>
      <w:lvlText w:val="•"/>
      <w:lvlJc w:val="left"/>
      <w:pPr>
        <w:ind w:left="1690" w:hanging="360"/>
      </w:pPr>
      <w:rPr>
        <w:rFonts w:hint="default"/>
      </w:rPr>
    </w:lvl>
    <w:lvl w:ilvl="7" w:tplc="E2B25560">
      <w:numFmt w:val="bullet"/>
      <w:lvlText w:val="•"/>
      <w:lvlJc w:val="left"/>
      <w:pPr>
        <w:ind w:left="1895" w:hanging="360"/>
      </w:pPr>
      <w:rPr>
        <w:rFonts w:hint="default"/>
      </w:rPr>
    </w:lvl>
    <w:lvl w:ilvl="8" w:tplc="B276D072">
      <w:numFmt w:val="bullet"/>
      <w:lvlText w:val="•"/>
      <w:lvlJc w:val="left"/>
      <w:pPr>
        <w:ind w:left="2100" w:hanging="360"/>
      </w:pPr>
      <w:rPr>
        <w:rFonts w:hint="default"/>
      </w:rPr>
    </w:lvl>
  </w:abstractNum>
  <w:abstractNum w:abstractNumId="44" w15:restartNumberingAfterBreak="0">
    <w:nsid w:val="76852E04"/>
    <w:multiLevelType w:val="hybridMultilevel"/>
    <w:tmpl w:val="97D669D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5" w15:restartNumberingAfterBreak="0">
    <w:nsid w:val="78AA69D9"/>
    <w:multiLevelType w:val="hybridMultilevel"/>
    <w:tmpl w:val="F0661110"/>
    <w:lvl w:ilvl="0" w:tplc="F006CD90">
      <w:numFmt w:val="bullet"/>
      <w:lvlText w:val=""/>
      <w:lvlJc w:val="left"/>
      <w:pPr>
        <w:ind w:left="460" w:hanging="360"/>
      </w:pPr>
      <w:rPr>
        <w:rFonts w:ascii="Symbol" w:eastAsia="Symbol" w:hAnsi="Symbol" w:cs="Symbol" w:hint="default"/>
        <w:w w:val="100"/>
        <w:sz w:val="18"/>
        <w:szCs w:val="18"/>
      </w:rPr>
    </w:lvl>
    <w:lvl w:ilvl="1" w:tplc="ACAA8044">
      <w:numFmt w:val="bullet"/>
      <w:lvlText w:val="•"/>
      <w:lvlJc w:val="left"/>
      <w:pPr>
        <w:ind w:left="665" w:hanging="360"/>
      </w:pPr>
      <w:rPr>
        <w:rFonts w:hint="default"/>
      </w:rPr>
    </w:lvl>
    <w:lvl w:ilvl="2" w:tplc="153AD7F6">
      <w:numFmt w:val="bullet"/>
      <w:lvlText w:val="•"/>
      <w:lvlJc w:val="left"/>
      <w:pPr>
        <w:ind w:left="870" w:hanging="360"/>
      </w:pPr>
      <w:rPr>
        <w:rFonts w:hint="default"/>
      </w:rPr>
    </w:lvl>
    <w:lvl w:ilvl="3" w:tplc="8AD0C298">
      <w:numFmt w:val="bullet"/>
      <w:lvlText w:val="•"/>
      <w:lvlJc w:val="left"/>
      <w:pPr>
        <w:ind w:left="1075" w:hanging="360"/>
      </w:pPr>
      <w:rPr>
        <w:rFonts w:hint="default"/>
      </w:rPr>
    </w:lvl>
    <w:lvl w:ilvl="4" w:tplc="BEE0490E">
      <w:numFmt w:val="bullet"/>
      <w:lvlText w:val="•"/>
      <w:lvlJc w:val="left"/>
      <w:pPr>
        <w:ind w:left="1280" w:hanging="360"/>
      </w:pPr>
      <w:rPr>
        <w:rFonts w:hint="default"/>
      </w:rPr>
    </w:lvl>
    <w:lvl w:ilvl="5" w:tplc="FFAAA68A">
      <w:numFmt w:val="bullet"/>
      <w:lvlText w:val="•"/>
      <w:lvlJc w:val="left"/>
      <w:pPr>
        <w:ind w:left="1485" w:hanging="360"/>
      </w:pPr>
      <w:rPr>
        <w:rFonts w:hint="default"/>
      </w:rPr>
    </w:lvl>
    <w:lvl w:ilvl="6" w:tplc="A0D0CD96">
      <w:numFmt w:val="bullet"/>
      <w:lvlText w:val="•"/>
      <w:lvlJc w:val="left"/>
      <w:pPr>
        <w:ind w:left="1690" w:hanging="360"/>
      </w:pPr>
      <w:rPr>
        <w:rFonts w:hint="default"/>
      </w:rPr>
    </w:lvl>
    <w:lvl w:ilvl="7" w:tplc="A97CADD4">
      <w:numFmt w:val="bullet"/>
      <w:lvlText w:val="•"/>
      <w:lvlJc w:val="left"/>
      <w:pPr>
        <w:ind w:left="1895" w:hanging="360"/>
      </w:pPr>
      <w:rPr>
        <w:rFonts w:hint="default"/>
      </w:rPr>
    </w:lvl>
    <w:lvl w:ilvl="8" w:tplc="4698AAAE">
      <w:numFmt w:val="bullet"/>
      <w:lvlText w:val="•"/>
      <w:lvlJc w:val="left"/>
      <w:pPr>
        <w:ind w:left="2100" w:hanging="360"/>
      </w:pPr>
      <w:rPr>
        <w:rFonts w:hint="default"/>
      </w:rPr>
    </w:lvl>
  </w:abstractNum>
  <w:abstractNum w:abstractNumId="46" w15:restartNumberingAfterBreak="0">
    <w:nsid w:val="799648A6"/>
    <w:multiLevelType w:val="hybridMultilevel"/>
    <w:tmpl w:val="91F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058D2"/>
    <w:multiLevelType w:val="hybridMultilevel"/>
    <w:tmpl w:val="879C0060"/>
    <w:lvl w:ilvl="0" w:tplc="AA0AB350">
      <w:numFmt w:val="bullet"/>
      <w:lvlText w:val=""/>
      <w:lvlJc w:val="left"/>
      <w:pPr>
        <w:ind w:left="460" w:hanging="360"/>
      </w:pPr>
      <w:rPr>
        <w:rFonts w:ascii="Symbol" w:eastAsia="Symbol" w:hAnsi="Symbol" w:cs="Symbol" w:hint="default"/>
        <w:w w:val="100"/>
        <w:sz w:val="18"/>
        <w:szCs w:val="18"/>
      </w:rPr>
    </w:lvl>
    <w:lvl w:ilvl="1" w:tplc="A94EA018">
      <w:numFmt w:val="bullet"/>
      <w:lvlText w:val="•"/>
      <w:lvlJc w:val="left"/>
      <w:pPr>
        <w:ind w:left="665" w:hanging="360"/>
      </w:pPr>
      <w:rPr>
        <w:rFonts w:hint="default"/>
      </w:rPr>
    </w:lvl>
    <w:lvl w:ilvl="2" w:tplc="4ACE3308">
      <w:numFmt w:val="bullet"/>
      <w:lvlText w:val="•"/>
      <w:lvlJc w:val="left"/>
      <w:pPr>
        <w:ind w:left="870" w:hanging="360"/>
      </w:pPr>
      <w:rPr>
        <w:rFonts w:hint="default"/>
      </w:rPr>
    </w:lvl>
    <w:lvl w:ilvl="3" w:tplc="2144B256">
      <w:numFmt w:val="bullet"/>
      <w:lvlText w:val="•"/>
      <w:lvlJc w:val="left"/>
      <w:pPr>
        <w:ind w:left="1075" w:hanging="360"/>
      </w:pPr>
      <w:rPr>
        <w:rFonts w:hint="default"/>
      </w:rPr>
    </w:lvl>
    <w:lvl w:ilvl="4" w:tplc="324046FC">
      <w:numFmt w:val="bullet"/>
      <w:lvlText w:val="•"/>
      <w:lvlJc w:val="left"/>
      <w:pPr>
        <w:ind w:left="1280" w:hanging="360"/>
      </w:pPr>
      <w:rPr>
        <w:rFonts w:hint="default"/>
      </w:rPr>
    </w:lvl>
    <w:lvl w:ilvl="5" w:tplc="81E00A52">
      <w:numFmt w:val="bullet"/>
      <w:lvlText w:val="•"/>
      <w:lvlJc w:val="left"/>
      <w:pPr>
        <w:ind w:left="1485" w:hanging="360"/>
      </w:pPr>
      <w:rPr>
        <w:rFonts w:hint="default"/>
      </w:rPr>
    </w:lvl>
    <w:lvl w:ilvl="6" w:tplc="542EC796">
      <w:numFmt w:val="bullet"/>
      <w:lvlText w:val="•"/>
      <w:lvlJc w:val="left"/>
      <w:pPr>
        <w:ind w:left="1690" w:hanging="360"/>
      </w:pPr>
      <w:rPr>
        <w:rFonts w:hint="default"/>
      </w:rPr>
    </w:lvl>
    <w:lvl w:ilvl="7" w:tplc="7F10E9EE">
      <w:numFmt w:val="bullet"/>
      <w:lvlText w:val="•"/>
      <w:lvlJc w:val="left"/>
      <w:pPr>
        <w:ind w:left="1895" w:hanging="360"/>
      </w:pPr>
      <w:rPr>
        <w:rFonts w:hint="default"/>
      </w:rPr>
    </w:lvl>
    <w:lvl w:ilvl="8" w:tplc="000041DE">
      <w:numFmt w:val="bullet"/>
      <w:lvlText w:val="•"/>
      <w:lvlJc w:val="left"/>
      <w:pPr>
        <w:ind w:left="2100" w:hanging="360"/>
      </w:pPr>
      <w:rPr>
        <w:rFonts w:hint="default"/>
      </w:rPr>
    </w:lvl>
  </w:abstractNum>
  <w:abstractNum w:abstractNumId="48" w15:restartNumberingAfterBreak="0">
    <w:nsid w:val="7C2614D1"/>
    <w:multiLevelType w:val="hybridMultilevel"/>
    <w:tmpl w:val="A4501AF4"/>
    <w:lvl w:ilvl="0" w:tplc="04090001">
      <w:start w:val="1"/>
      <w:numFmt w:val="bullet"/>
      <w:lvlText w:val=""/>
      <w:lvlJc w:val="left"/>
      <w:pPr>
        <w:ind w:left="446" w:hanging="360"/>
      </w:pPr>
      <w:rPr>
        <w:rFonts w:ascii="Symbol" w:hAnsi="Symbol" w:hint="default"/>
      </w:rPr>
    </w:lvl>
    <w:lvl w:ilvl="1" w:tplc="04090003">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44"/>
  </w:num>
  <w:num w:numId="2">
    <w:abstractNumId w:val="31"/>
  </w:num>
  <w:num w:numId="3">
    <w:abstractNumId w:val="40"/>
  </w:num>
  <w:num w:numId="4">
    <w:abstractNumId w:val="17"/>
  </w:num>
  <w:num w:numId="5">
    <w:abstractNumId w:val="6"/>
  </w:num>
  <w:num w:numId="6">
    <w:abstractNumId w:val="24"/>
  </w:num>
  <w:num w:numId="7">
    <w:abstractNumId w:val="48"/>
  </w:num>
  <w:num w:numId="8">
    <w:abstractNumId w:val="46"/>
  </w:num>
  <w:num w:numId="9">
    <w:abstractNumId w:val="21"/>
  </w:num>
  <w:num w:numId="10">
    <w:abstractNumId w:val="25"/>
  </w:num>
  <w:num w:numId="11">
    <w:abstractNumId w:val="3"/>
  </w:num>
  <w:num w:numId="12">
    <w:abstractNumId w:val="33"/>
  </w:num>
  <w:num w:numId="13">
    <w:abstractNumId w:val="34"/>
  </w:num>
  <w:num w:numId="14">
    <w:abstractNumId w:val="29"/>
  </w:num>
  <w:num w:numId="15">
    <w:abstractNumId w:val="18"/>
  </w:num>
  <w:num w:numId="16">
    <w:abstractNumId w:val="26"/>
  </w:num>
  <w:num w:numId="17">
    <w:abstractNumId w:val="8"/>
  </w:num>
  <w:num w:numId="18">
    <w:abstractNumId w:val="5"/>
  </w:num>
  <w:num w:numId="19">
    <w:abstractNumId w:val="32"/>
  </w:num>
  <w:num w:numId="20">
    <w:abstractNumId w:val="0"/>
  </w:num>
  <w:num w:numId="21">
    <w:abstractNumId w:val="27"/>
  </w:num>
  <w:num w:numId="22">
    <w:abstractNumId w:val="23"/>
  </w:num>
  <w:num w:numId="23">
    <w:abstractNumId w:val="2"/>
  </w:num>
  <w:num w:numId="24">
    <w:abstractNumId w:val="30"/>
  </w:num>
  <w:num w:numId="25">
    <w:abstractNumId w:val="41"/>
  </w:num>
  <w:num w:numId="26">
    <w:abstractNumId w:val="36"/>
  </w:num>
  <w:num w:numId="27">
    <w:abstractNumId w:val="9"/>
  </w:num>
  <w:num w:numId="28">
    <w:abstractNumId w:val="7"/>
  </w:num>
  <w:num w:numId="29">
    <w:abstractNumId w:val="4"/>
  </w:num>
  <w:num w:numId="30">
    <w:abstractNumId w:val="12"/>
  </w:num>
  <w:num w:numId="31">
    <w:abstractNumId w:val="43"/>
  </w:num>
  <w:num w:numId="32">
    <w:abstractNumId w:val="47"/>
  </w:num>
  <w:num w:numId="33">
    <w:abstractNumId w:val="11"/>
  </w:num>
  <w:num w:numId="34">
    <w:abstractNumId w:val="45"/>
  </w:num>
  <w:num w:numId="35">
    <w:abstractNumId w:val="22"/>
  </w:num>
  <w:num w:numId="36">
    <w:abstractNumId w:val="10"/>
  </w:num>
  <w:num w:numId="37">
    <w:abstractNumId w:val="16"/>
  </w:num>
  <w:num w:numId="38">
    <w:abstractNumId w:val="14"/>
  </w:num>
  <w:num w:numId="39">
    <w:abstractNumId w:val="1"/>
  </w:num>
  <w:num w:numId="40">
    <w:abstractNumId w:val="35"/>
  </w:num>
  <w:num w:numId="41">
    <w:abstractNumId w:val="37"/>
  </w:num>
  <w:num w:numId="42">
    <w:abstractNumId w:val="42"/>
  </w:num>
  <w:num w:numId="43">
    <w:abstractNumId w:val="19"/>
  </w:num>
  <w:num w:numId="44">
    <w:abstractNumId w:val="39"/>
  </w:num>
  <w:num w:numId="45">
    <w:abstractNumId w:val="15"/>
  </w:num>
  <w:num w:numId="46">
    <w:abstractNumId w:val="20"/>
  </w:num>
  <w:num w:numId="47">
    <w:abstractNumId w:val="13"/>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DC"/>
    <w:rsid w:val="00006475"/>
    <w:rsid w:val="00032CB7"/>
    <w:rsid w:val="00046EEE"/>
    <w:rsid w:val="000512EA"/>
    <w:rsid w:val="000703C4"/>
    <w:rsid w:val="00085E7D"/>
    <w:rsid w:val="000B0E47"/>
    <w:rsid w:val="000C5E3E"/>
    <w:rsid w:val="000D0FBE"/>
    <w:rsid w:val="000D6CF8"/>
    <w:rsid w:val="0013463D"/>
    <w:rsid w:val="00151C6C"/>
    <w:rsid w:val="00153DAC"/>
    <w:rsid w:val="001547BA"/>
    <w:rsid w:val="00166552"/>
    <w:rsid w:val="001C52C9"/>
    <w:rsid w:val="001E428A"/>
    <w:rsid w:val="0024733B"/>
    <w:rsid w:val="00254044"/>
    <w:rsid w:val="00256D6E"/>
    <w:rsid w:val="00274C7A"/>
    <w:rsid w:val="002A2475"/>
    <w:rsid w:val="002E42B1"/>
    <w:rsid w:val="00307DF3"/>
    <w:rsid w:val="003276F8"/>
    <w:rsid w:val="0033546E"/>
    <w:rsid w:val="00377BE7"/>
    <w:rsid w:val="003C7930"/>
    <w:rsid w:val="003F2D61"/>
    <w:rsid w:val="004231DE"/>
    <w:rsid w:val="00467D7C"/>
    <w:rsid w:val="0047509B"/>
    <w:rsid w:val="004A19CD"/>
    <w:rsid w:val="004D027F"/>
    <w:rsid w:val="004F6DBF"/>
    <w:rsid w:val="00534CA4"/>
    <w:rsid w:val="00535565"/>
    <w:rsid w:val="00573ED5"/>
    <w:rsid w:val="005D442D"/>
    <w:rsid w:val="00667851"/>
    <w:rsid w:val="006725A0"/>
    <w:rsid w:val="006F205D"/>
    <w:rsid w:val="00701D84"/>
    <w:rsid w:val="007054D9"/>
    <w:rsid w:val="007061A2"/>
    <w:rsid w:val="00742287"/>
    <w:rsid w:val="00794C90"/>
    <w:rsid w:val="007A00AE"/>
    <w:rsid w:val="007A120E"/>
    <w:rsid w:val="007E117A"/>
    <w:rsid w:val="008051A1"/>
    <w:rsid w:val="008E1694"/>
    <w:rsid w:val="0093442B"/>
    <w:rsid w:val="0094120A"/>
    <w:rsid w:val="00943FEB"/>
    <w:rsid w:val="00956DF8"/>
    <w:rsid w:val="0097641C"/>
    <w:rsid w:val="0098760D"/>
    <w:rsid w:val="009B549E"/>
    <w:rsid w:val="00A0082B"/>
    <w:rsid w:val="00A21BDE"/>
    <w:rsid w:val="00A379EA"/>
    <w:rsid w:val="00A409C2"/>
    <w:rsid w:val="00A550FE"/>
    <w:rsid w:val="00A66681"/>
    <w:rsid w:val="00A847EF"/>
    <w:rsid w:val="00B04B21"/>
    <w:rsid w:val="00B06C6B"/>
    <w:rsid w:val="00B94ED7"/>
    <w:rsid w:val="00BE0A2B"/>
    <w:rsid w:val="00BE739E"/>
    <w:rsid w:val="00C7272E"/>
    <w:rsid w:val="00CE7431"/>
    <w:rsid w:val="00D557AD"/>
    <w:rsid w:val="00D749A0"/>
    <w:rsid w:val="00D90A16"/>
    <w:rsid w:val="00DC566D"/>
    <w:rsid w:val="00E227DC"/>
    <w:rsid w:val="00E8489B"/>
    <w:rsid w:val="00E86DFD"/>
    <w:rsid w:val="00EF5107"/>
    <w:rsid w:val="00F130A7"/>
    <w:rsid w:val="00F32C72"/>
    <w:rsid w:val="00F36ADC"/>
    <w:rsid w:val="00F9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3D1DCD1"/>
  <w15:docId w15:val="{08DDCA06-28EB-4D95-AB91-27E2BF6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ind w:left="86" w:right="15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A4"/>
  </w:style>
  <w:style w:type="paragraph" w:styleId="Heading1">
    <w:name w:val="heading 1"/>
    <w:basedOn w:val="Normal"/>
    <w:next w:val="Normal"/>
    <w:link w:val="Heading1Char"/>
    <w:uiPriority w:val="9"/>
    <w:qFormat/>
    <w:rsid w:val="00943FEB"/>
    <w:pPr>
      <w:keepNext/>
      <w:keepLines/>
      <w:spacing w:before="240" w:line="240" w:lineRule="auto"/>
      <w:ind w:left="0" w:right="0"/>
      <w:outlineLvl w:val="0"/>
    </w:pPr>
    <w:rPr>
      <w:rFonts w:asciiTheme="majorHAnsi" w:eastAsiaTheme="majorEastAsia" w:hAnsiTheme="majorHAnsi" w:cstheme="majorBidi"/>
      <w:b/>
      <w:color w:val="000000" w:themeColor="text1"/>
      <w:sz w:val="28"/>
      <w:szCs w:val="28"/>
    </w:rPr>
  </w:style>
  <w:style w:type="paragraph" w:styleId="Heading2">
    <w:name w:val="heading 2"/>
    <w:basedOn w:val="Normal"/>
    <w:next w:val="Normal"/>
    <w:link w:val="Heading2Char"/>
    <w:uiPriority w:val="9"/>
    <w:unhideWhenUsed/>
    <w:qFormat/>
    <w:rsid w:val="00943FEB"/>
    <w:pPr>
      <w:keepNext/>
      <w:keepLines/>
      <w:spacing w:before="40" w:line="240" w:lineRule="auto"/>
      <w:ind w:left="0" w:right="0"/>
      <w:outlineLvl w:val="1"/>
    </w:pPr>
    <w:rPr>
      <w:rFonts w:asciiTheme="majorHAnsi" w:eastAsiaTheme="majorEastAsia" w:hAnsiTheme="majorHAnsi" w:cstheme="majorBid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DC"/>
    <w:pPr>
      <w:tabs>
        <w:tab w:val="center" w:pos="4680"/>
        <w:tab w:val="right" w:pos="9360"/>
      </w:tabs>
      <w:spacing w:line="240" w:lineRule="auto"/>
    </w:pPr>
  </w:style>
  <w:style w:type="character" w:customStyle="1" w:styleId="HeaderChar">
    <w:name w:val="Header Char"/>
    <w:basedOn w:val="DefaultParagraphFont"/>
    <w:link w:val="Header"/>
    <w:uiPriority w:val="99"/>
    <w:rsid w:val="00F36ADC"/>
  </w:style>
  <w:style w:type="paragraph" w:styleId="Footer">
    <w:name w:val="footer"/>
    <w:basedOn w:val="Normal"/>
    <w:link w:val="FooterChar"/>
    <w:uiPriority w:val="99"/>
    <w:unhideWhenUsed/>
    <w:rsid w:val="00F36ADC"/>
    <w:pPr>
      <w:tabs>
        <w:tab w:val="center" w:pos="4680"/>
        <w:tab w:val="right" w:pos="9360"/>
      </w:tabs>
      <w:spacing w:line="240" w:lineRule="auto"/>
    </w:pPr>
  </w:style>
  <w:style w:type="character" w:customStyle="1" w:styleId="FooterChar">
    <w:name w:val="Footer Char"/>
    <w:basedOn w:val="DefaultParagraphFont"/>
    <w:link w:val="Footer"/>
    <w:uiPriority w:val="99"/>
    <w:rsid w:val="00F36ADC"/>
  </w:style>
  <w:style w:type="paragraph" w:styleId="ListParagraph">
    <w:name w:val="List Paragraph"/>
    <w:basedOn w:val="Normal"/>
    <w:uiPriority w:val="34"/>
    <w:qFormat/>
    <w:rsid w:val="00D90A16"/>
    <w:pPr>
      <w:ind w:left="720"/>
      <w:contextualSpacing/>
    </w:pPr>
  </w:style>
  <w:style w:type="paragraph" w:styleId="BalloonText">
    <w:name w:val="Balloon Text"/>
    <w:basedOn w:val="Normal"/>
    <w:link w:val="BalloonTextChar"/>
    <w:uiPriority w:val="99"/>
    <w:semiHidden/>
    <w:unhideWhenUsed/>
    <w:rsid w:val="00706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A2"/>
    <w:rPr>
      <w:rFonts w:ascii="Segoe UI" w:hAnsi="Segoe UI" w:cs="Segoe UI"/>
      <w:sz w:val="18"/>
      <w:szCs w:val="18"/>
    </w:rPr>
  </w:style>
  <w:style w:type="character" w:customStyle="1" w:styleId="Heading1Char">
    <w:name w:val="Heading 1 Char"/>
    <w:basedOn w:val="DefaultParagraphFont"/>
    <w:link w:val="Heading1"/>
    <w:uiPriority w:val="9"/>
    <w:rsid w:val="00943FEB"/>
    <w:rPr>
      <w:rFonts w:asciiTheme="majorHAnsi" w:eastAsiaTheme="majorEastAsia" w:hAnsiTheme="majorHAnsi" w:cstheme="majorBidi"/>
      <w:b/>
      <w:color w:val="000000" w:themeColor="text1"/>
      <w:sz w:val="28"/>
      <w:szCs w:val="28"/>
    </w:rPr>
  </w:style>
  <w:style w:type="character" w:customStyle="1" w:styleId="Heading2Char">
    <w:name w:val="Heading 2 Char"/>
    <w:basedOn w:val="DefaultParagraphFont"/>
    <w:link w:val="Heading2"/>
    <w:uiPriority w:val="9"/>
    <w:rsid w:val="00943FEB"/>
    <w:rPr>
      <w:rFonts w:asciiTheme="majorHAnsi" w:eastAsiaTheme="majorEastAsia" w:hAnsiTheme="majorHAnsi" w:cstheme="majorBidi"/>
      <w:color w:val="000000" w:themeColor="text1"/>
      <w:sz w:val="26"/>
      <w:szCs w:val="26"/>
      <w:u w:val="single"/>
    </w:rPr>
  </w:style>
  <w:style w:type="paragraph" w:customStyle="1" w:styleId="BodyText">
    <w:name w:val="Body_Text"/>
    <w:basedOn w:val="Normal"/>
    <w:qFormat/>
    <w:rsid w:val="00943FEB"/>
    <w:pPr>
      <w:spacing w:before="120" w:after="120" w:line="276" w:lineRule="auto"/>
      <w:ind w:left="0" w:right="0"/>
    </w:pPr>
    <w:rPr>
      <w:rFonts w:ascii="Cambria" w:eastAsia="Times New Roman" w:hAnsi="Cambria" w:cs="Times New Roman"/>
      <w:szCs w:val="24"/>
    </w:rPr>
  </w:style>
  <w:style w:type="character" w:styleId="Hyperlink">
    <w:name w:val="Hyperlink"/>
    <w:basedOn w:val="DefaultParagraphFont"/>
    <w:uiPriority w:val="99"/>
    <w:unhideWhenUsed/>
    <w:rsid w:val="00943FEB"/>
    <w:rPr>
      <w:color w:val="0000FF" w:themeColor="hyperlink"/>
      <w:u w:val="single"/>
    </w:rPr>
  </w:style>
  <w:style w:type="paragraph" w:styleId="NormalWeb">
    <w:name w:val="Normal (Web)"/>
    <w:basedOn w:val="Normal"/>
    <w:uiPriority w:val="99"/>
    <w:semiHidden/>
    <w:unhideWhenUsed/>
    <w:rsid w:val="00943FEB"/>
    <w:pPr>
      <w:spacing w:before="100" w:beforeAutospacing="1" w:after="100" w:afterAutospacing="1" w:line="240" w:lineRule="auto"/>
      <w:ind w:left="0" w:right="0"/>
    </w:pPr>
    <w:rPr>
      <w:rFonts w:ascii="Times New Roman" w:eastAsiaTheme="minorEastAsia" w:hAnsi="Times New Roman" w:cs="Times New Roman"/>
      <w:sz w:val="24"/>
      <w:szCs w:val="24"/>
    </w:rPr>
  </w:style>
  <w:style w:type="paragraph" w:customStyle="1" w:styleId="p2">
    <w:name w:val="p2"/>
    <w:basedOn w:val="Normal"/>
    <w:rsid w:val="00166552"/>
    <w:pPr>
      <w:spacing w:after="42" w:line="240" w:lineRule="auto"/>
      <w:ind w:left="0" w:right="0"/>
    </w:pPr>
    <w:rPr>
      <w:rFonts w:ascii="Georgia" w:hAnsi="Georgia" w:cs="Times New Roman"/>
      <w:sz w:val="15"/>
      <w:szCs w:val="15"/>
    </w:rPr>
  </w:style>
  <w:style w:type="character" w:styleId="Emphasis">
    <w:name w:val="Emphasis"/>
    <w:basedOn w:val="DefaultParagraphFont"/>
    <w:uiPriority w:val="20"/>
    <w:qFormat/>
    <w:rsid w:val="00573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3089">
      <w:bodyDiv w:val="1"/>
      <w:marLeft w:val="0"/>
      <w:marRight w:val="0"/>
      <w:marTop w:val="0"/>
      <w:marBottom w:val="0"/>
      <w:divBdr>
        <w:top w:val="none" w:sz="0" w:space="0" w:color="auto"/>
        <w:left w:val="none" w:sz="0" w:space="0" w:color="auto"/>
        <w:bottom w:val="none" w:sz="0" w:space="0" w:color="auto"/>
        <w:right w:val="none" w:sz="0" w:space="0" w:color="auto"/>
      </w:divBdr>
    </w:div>
    <w:div w:id="2020308187">
      <w:bodyDiv w:val="1"/>
      <w:marLeft w:val="0"/>
      <w:marRight w:val="0"/>
      <w:marTop w:val="0"/>
      <w:marBottom w:val="0"/>
      <w:divBdr>
        <w:top w:val="none" w:sz="0" w:space="0" w:color="auto"/>
        <w:left w:val="none" w:sz="0" w:space="0" w:color="auto"/>
        <w:bottom w:val="none" w:sz="0" w:space="0" w:color="auto"/>
        <w:right w:val="none" w:sz="0" w:space="0" w:color="auto"/>
      </w:divBdr>
      <w:divsChild>
        <w:div w:id="126779261">
          <w:marLeft w:val="0"/>
          <w:marRight w:val="0"/>
          <w:marTop w:val="0"/>
          <w:marBottom w:val="0"/>
          <w:divBdr>
            <w:top w:val="none" w:sz="0" w:space="0" w:color="auto"/>
            <w:left w:val="none" w:sz="0" w:space="0" w:color="auto"/>
            <w:bottom w:val="none" w:sz="0" w:space="0" w:color="auto"/>
            <w:right w:val="none" w:sz="0" w:space="0" w:color="auto"/>
          </w:divBdr>
        </w:div>
        <w:div w:id="2116249312">
          <w:marLeft w:val="0"/>
          <w:marRight w:val="0"/>
          <w:marTop w:val="0"/>
          <w:marBottom w:val="0"/>
          <w:divBdr>
            <w:top w:val="none" w:sz="0" w:space="0" w:color="auto"/>
            <w:left w:val="none" w:sz="0" w:space="0" w:color="auto"/>
            <w:bottom w:val="none" w:sz="0" w:space="0" w:color="auto"/>
            <w:right w:val="none" w:sz="0" w:space="0" w:color="auto"/>
          </w:divBdr>
        </w:div>
        <w:div w:id="1591964629">
          <w:marLeft w:val="2160"/>
          <w:marRight w:val="0"/>
          <w:marTop w:val="0"/>
          <w:marBottom w:val="0"/>
          <w:divBdr>
            <w:top w:val="none" w:sz="0" w:space="0" w:color="auto"/>
            <w:left w:val="none" w:sz="0" w:space="0" w:color="auto"/>
            <w:bottom w:val="none" w:sz="0" w:space="0" w:color="auto"/>
            <w:right w:val="none" w:sz="0" w:space="0" w:color="auto"/>
          </w:divBdr>
        </w:div>
        <w:div w:id="1834029824">
          <w:marLeft w:val="2160"/>
          <w:marRight w:val="0"/>
          <w:marTop w:val="0"/>
          <w:marBottom w:val="0"/>
          <w:divBdr>
            <w:top w:val="none" w:sz="0" w:space="0" w:color="auto"/>
            <w:left w:val="none" w:sz="0" w:space="0" w:color="auto"/>
            <w:bottom w:val="none" w:sz="0" w:space="0" w:color="auto"/>
            <w:right w:val="none" w:sz="0" w:space="0" w:color="auto"/>
          </w:divBdr>
        </w:div>
        <w:div w:id="2027825648">
          <w:marLeft w:val="2160"/>
          <w:marRight w:val="0"/>
          <w:marTop w:val="0"/>
          <w:marBottom w:val="0"/>
          <w:divBdr>
            <w:top w:val="none" w:sz="0" w:space="0" w:color="auto"/>
            <w:left w:val="none" w:sz="0" w:space="0" w:color="auto"/>
            <w:bottom w:val="none" w:sz="0" w:space="0" w:color="auto"/>
            <w:right w:val="none" w:sz="0" w:space="0" w:color="auto"/>
          </w:divBdr>
        </w:div>
        <w:div w:id="69029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rttf.org/wp-content/uploads/2017/04/Communications-Continuum_PCBs.pdf" TargetMode="External"/><Relationship Id="rId18" Type="http://schemas.openxmlformats.org/officeDocument/2006/relationships/hyperlink" Target="http://srrttf.org/?page_id=961" TargetMode="External"/><Relationship Id="rId26" Type="http://schemas.openxmlformats.org/officeDocument/2006/relationships/hyperlink" Target="http://srrttf.org/wp-content/uploads/2017/04/IEP-PCB-Presentation.pdf" TargetMode="External"/><Relationship Id="rId39" Type="http://schemas.openxmlformats.org/officeDocument/2006/relationships/hyperlink" Target="http://srrttf.org/wp-content/uploads/2017/05/EPA-TSCA-presentation-042717.pdf" TargetMode="External"/><Relationship Id="rId21" Type="http://schemas.openxmlformats.org/officeDocument/2006/relationships/hyperlink" Target="http://srrttf.org/wp-content/uploads/2017/02/Proposed-Workplan-for-Green-Chemistry-Control-Action.pdf" TargetMode="External"/><Relationship Id="rId34" Type="http://schemas.openxmlformats.org/officeDocument/2006/relationships/hyperlink" Target="http://srrttf.org/wp-content/uploads/2017/04/SRRTTF_LimnoTech_05_03_2017.pdf" TargetMode="External"/><Relationship Id="rId42" Type="http://schemas.openxmlformats.org/officeDocument/2006/relationships/hyperlink" Target="http://srrttf.org/wp-content/uploads/2017/05/IEP-PCB-Presentation_CPMA-1.pdf" TargetMode="External"/><Relationship Id="rId47" Type="http://schemas.openxmlformats.org/officeDocument/2006/relationships/hyperlink" Target="http://srrttf.org/wp-content/uploads/2017/06/SRRTTF_LimnoTech_06_28_2017_Homolog-Mass-Balance-Update-and-Future-Monitoring.pdf" TargetMode="External"/><Relationship Id="rId50" Type="http://schemas.openxmlformats.org/officeDocument/2006/relationships/hyperlink" Target="http://srrttf.org/?p=8165" TargetMode="External"/><Relationship Id="rId55" Type="http://schemas.openxmlformats.org/officeDocument/2006/relationships/hyperlink" Target="http://srrttf.org/?p=8114" TargetMode="External"/><Relationship Id="rId63" Type="http://schemas.openxmlformats.org/officeDocument/2006/relationships/hyperlink" Target="http://srrttf.org/wp-content/uploads/2017/07/SRSP-TF-Monitoring-Strawman-suggestions-d3-08-01-2017.pdf" TargetMode="External"/><Relationship Id="rId68" Type="http://schemas.openxmlformats.org/officeDocument/2006/relationships/hyperlink" Target="http://srrttf.org/wp-content/uploads/2017/08/SRSP-TF-Monitoring-Stawman-Proposal-Draft2-08-28-17-1.pdf" TargetMode="External"/><Relationship Id="rId76" Type="http://schemas.openxmlformats.org/officeDocument/2006/relationships/hyperlink" Target="http://srrttf.org/wp-content/uploads/2017/09/GroundwaterFingerprintingMemo_DRAFT_092517.pdf" TargetMode="External"/><Relationship Id="rId84" Type="http://schemas.openxmlformats.org/officeDocument/2006/relationships/hyperlink" Target="https://www.youtube.com/watch?v=FbiqFV9cfic&amp;feature=youtu.be" TargetMode="External"/><Relationship Id="rId89"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rrttf.org/wp-content/uploads/2017/08/Panel-1_spokane-river-forum_3.17.16-revised.pd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rrttf.org/wp-content/uploads/2017/04/PRELIMINARY_HomologMassBalance_042617.pdf" TargetMode="External"/><Relationship Id="rId11" Type="http://schemas.openxmlformats.org/officeDocument/2006/relationships/header" Target="header3.xml"/><Relationship Id="rId24" Type="http://schemas.openxmlformats.org/officeDocument/2006/relationships/hyperlink" Target="http://srrttf.org/wp-content/uploads/2017/03/Limnotech-contract-package-2017.pdf" TargetMode="External"/><Relationship Id="rId32" Type="http://schemas.openxmlformats.org/officeDocument/2006/relationships/hyperlink" Target="http://srrttf.org/wp-content/uploads/2017/04/Communications-Continuum_PCBs-1.pdf" TargetMode="External"/><Relationship Id="rId37" Type="http://schemas.openxmlformats.org/officeDocument/2006/relationships/hyperlink" Target="http://srrttf.org/wp-content/uploads/2017/04/Pilot-Plant-Update-May-2017.pdf" TargetMode="External"/><Relationship Id="rId40" Type="http://schemas.openxmlformats.org/officeDocument/2006/relationships/hyperlink" Target="http://srrttf.org/wp-content/uploads/2017/05/CPMA-Presentation-Spokane-Meeting.pdf" TargetMode="External"/><Relationship Id="rId45" Type="http://schemas.openxmlformats.org/officeDocument/2006/relationships/hyperlink" Target="http://srrttf.org/wp-content/uploads/2017/05/SRRTTF-Comments-to-Docket-EPA-HQ-OA-2017-0190-_Final-Draft.pdf" TargetMode="External"/><Relationship Id="rId53" Type="http://schemas.openxmlformats.org/officeDocument/2006/relationships/hyperlink" Target="http://srrttf.org/?p=7333" TargetMode="External"/><Relationship Id="rId58" Type="http://schemas.openxmlformats.org/officeDocument/2006/relationships/hyperlink" Target="http://srrttf.org/wp-content/uploads/2017/07/Duwamish-River-PCB-Cleanup_SRRTTF-presentation-options_revised-list-based-on-TTWG-feedback.pdf" TargetMode="External"/><Relationship Id="rId66" Type="http://schemas.openxmlformats.org/officeDocument/2006/relationships/hyperlink" Target="http://srrttf.org/wp-content/uploads/2017/08/Potential-PCB-Control-Actions-to-Fulfill-State-Budget.pdf" TargetMode="External"/><Relationship Id="rId74" Type="http://schemas.openxmlformats.org/officeDocument/2006/relationships/hyperlink" Target="http://srrttf.org/wp-content/uploads/2017/09/Activities-for-SRRTTF-Funding-Consideration_prioritized-by-TTWG.pdf" TargetMode="External"/><Relationship Id="rId79" Type="http://schemas.openxmlformats.org/officeDocument/2006/relationships/hyperlink" Target="http://srrttf.org/wp-content/uploads/2017/09/Potential-EAP-Projects.pdf" TargetMode="External"/><Relationship Id="rId87" Type="http://schemas.openxmlformats.org/officeDocument/2006/relationships/hyperlink" Target="http://srrttf.org/?p=8449" TargetMode="External"/><Relationship Id="rId5" Type="http://schemas.openxmlformats.org/officeDocument/2006/relationships/webSettings" Target="webSettings.xml"/><Relationship Id="rId61" Type="http://schemas.openxmlformats.org/officeDocument/2006/relationships/hyperlink" Target="http://srrttf.org/wp-content/uploads/2017/07/SRRTTF_ResponsetoHomologMassBlanceComments.pdf" TargetMode="External"/><Relationship Id="rId82" Type="http://schemas.openxmlformats.org/officeDocument/2006/relationships/hyperlink" Target="http://srrttf.org/wp-content/uploads/2017/09/Idea-from-Brian-Nickel.pdf" TargetMode="External"/><Relationship Id="rId90" Type="http://schemas.openxmlformats.org/officeDocument/2006/relationships/header" Target="header9.xml"/><Relationship Id="rId19" Type="http://schemas.openxmlformats.org/officeDocument/2006/relationships/hyperlink" Target="http://www.ecy.wa.gov/programs/wq/303d/proposed/index.html" TargetMode="External"/><Relationship Id="rId14" Type="http://schemas.openxmlformats.org/officeDocument/2006/relationships/hyperlink" Target="http://www.spokaneriverpcbfree.org/" TargetMode="External"/><Relationship Id="rId22" Type="http://schemas.openxmlformats.org/officeDocument/2006/relationships/hyperlink" Target="http://srrttf.org/wp-content/uploads/2017/02/Comp-Plan-eo-Actions_work-plan.pdf" TargetMode="External"/><Relationship Id="rId27" Type="http://schemas.openxmlformats.org/officeDocument/2006/relationships/hyperlink" Target="http://srrttf.org/wp-content/uploads/2017/04/EPA-TSCA-presentation-042717.pdf" TargetMode="External"/><Relationship Id="rId30" Type="http://schemas.openxmlformats.org/officeDocument/2006/relationships/hyperlink" Target="http://srrttf.org/wp-content/uploads/2017/04/Federal-Cleanup-Sites-With-PCBs-In-The-Spokane-2.pdf" TargetMode="External"/><Relationship Id="rId35" Type="http://schemas.openxmlformats.org/officeDocument/2006/relationships/hyperlink" Target="http://srrttf.org/wp-content/uploads/2017/04/Industrial-Park-site-hazard-assmt.pdf" TargetMode="External"/><Relationship Id="rId43" Type="http://schemas.openxmlformats.org/officeDocument/2006/relationships/hyperlink" Target="http://srrttf.org/wp-content/uploads/2017/05/SRRTTF-PCB-Database-Tsk12-TechMemo-DRAFT.pdf" TargetMode="External"/><Relationship Id="rId48" Type="http://schemas.openxmlformats.org/officeDocument/2006/relationships/hyperlink" Target="http://srrttf.org/wp-content/uploads/2017/07/Duwamish-River-PCB-Cleanup_SRRTTF-presentation-options-1.pdf" TargetMode="External"/><Relationship Id="rId56" Type="http://schemas.openxmlformats.org/officeDocument/2006/relationships/hyperlink" Target="http://srrttf.org/?p=8142" TargetMode="External"/><Relationship Id="rId64" Type="http://schemas.openxmlformats.org/officeDocument/2006/relationships/hyperlink" Target="http://srrttf.org/wp-content/uploads/2017/08/SRSP-TF-Monitoring-Strawman-suggestions-d3-08-01-2017.pdf" TargetMode="External"/><Relationship Id="rId69" Type="http://schemas.openxmlformats.org/officeDocument/2006/relationships/hyperlink" Target="http://srrttf.org/wp-content/uploads/2017/08/Spokane-County-project-suggestions-1.pdf" TargetMode="External"/><Relationship Id="rId77" Type="http://schemas.openxmlformats.org/officeDocument/2006/relationships/hyperlink" Target="http://srrttf.org/wp-content/uploads/2017/09/SRRTTF_LimnoTech_10_04_2017_Fingerprinting.pdf" TargetMode="External"/><Relationship Id="rId8" Type="http://schemas.openxmlformats.org/officeDocument/2006/relationships/hyperlink" Target="http://srrttf.org/wp-content/uploads/2017/05/SRRTTF-Comments-to-Docket-EPA-HQ-OA-2017-0190-_Final-Draft.pdf" TargetMode="External"/><Relationship Id="rId51" Type="http://schemas.openxmlformats.org/officeDocument/2006/relationships/hyperlink" Target="http://srrttf.org/?p=8220" TargetMode="External"/><Relationship Id="rId72" Type="http://schemas.openxmlformats.org/officeDocument/2006/relationships/hyperlink" Target="http://srrttf.org/wp-content/uploads/2017/08/Panel-2_spokane-river-forum_3.17.16.pdf" TargetMode="External"/><Relationship Id="rId80" Type="http://schemas.openxmlformats.org/officeDocument/2006/relationships/hyperlink" Target="http://srrttf.org/wp-content/uploads/2017/09/fy2017-sediment-sampling.pdf" TargetMode="External"/><Relationship Id="rId85" Type="http://schemas.openxmlformats.org/officeDocument/2006/relationships/hyperlink" Target="http://srrttf.org/wp-content/uploads/2017/10/SRRTTF-Project-Tracking_10-24-2017_rev2.pdf" TargetMode="External"/><Relationship Id="rId3" Type="http://schemas.openxmlformats.org/officeDocument/2006/relationships/styles" Target="styles.xml"/><Relationship Id="rId12" Type="http://schemas.openxmlformats.org/officeDocument/2006/relationships/hyperlink" Target="http://srrttf.org/wp-content/uploads/2017/04/BasisofCampaign.pdf" TargetMode="External"/><Relationship Id="rId17" Type="http://schemas.openxmlformats.org/officeDocument/2006/relationships/header" Target="header6.xml"/><Relationship Id="rId25" Type="http://schemas.openxmlformats.org/officeDocument/2006/relationships/hyperlink" Target="http://srrttf.org/wp-content/uploads/2012/10/Agenda_EPA-SRRTTF_4-26_Notes-final-_TF-edits.pdf" TargetMode="External"/><Relationship Id="rId33" Type="http://schemas.openxmlformats.org/officeDocument/2006/relationships/hyperlink" Target="http://srrttf.org/wp-content/uploads/2017/04/BasisofCampaign.pdf" TargetMode="External"/><Relationship Id="rId38" Type="http://schemas.openxmlformats.org/officeDocument/2006/relationships/hyperlink" Target="http://srrttf.org/wp-content/uploads/2017/04/TCP-process-flowchart.pdf" TargetMode="External"/><Relationship Id="rId46" Type="http://schemas.openxmlformats.org/officeDocument/2006/relationships/hyperlink" Target="http://srrttf.org/wp-content/uploads/2017/05/SRRTTF_2016_MonthlyMonitoringReport_05-24-2017_draft.pdf" TargetMode="External"/><Relationship Id="rId59" Type="http://schemas.openxmlformats.org/officeDocument/2006/relationships/hyperlink" Target="http://srrttf.org/wp-content/uploads/2017/07/SRRTTF_LimnoTech_07_12_2017_Monitoring.pdf" TargetMode="External"/><Relationship Id="rId67" Type="http://schemas.openxmlformats.org/officeDocument/2006/relationships/hyperlink" Target="http://srrttf.org/wp-content/uploads/2017/08/PCB-powerpoint-8-23-17.pdf" TargetMode="External"/><Relationship Id="rId20" Type="http://schemas.openxmlformats.org/officeDocument/2006/relationships/hyperlink" Target="http://srrttf.org/wp-content/uploads/2017/02/5.13.1-Demolition-Renovation-and-Control.pdf" TargetMode="External"/><Relationship Id="rId41" Type="http://schemas.openxmlformats.org/officeDocument/2006/relationships/hyperlink" Target="http://srrttf.org/wp-content/uploads/2017/05/Printing-Inks_George-R.-Fuchs_presentation.pdf" TargetMode="External"/><Relationship Id="rId54" Type="http://schemas.openxmlformats.org/officeDocument/2006/relationships/hyperlink" Target="http://srrttf.org/?p=5730" TargetMode="External"/><Relationship Id="rId62" Type="http://schemas.openxmlformats.org/officeDocument/2006/relationships/hyperlink" Target="http://srrttf.org/wp-content/uploads/2017/07/SRRTTF-%E2%80%93-PCB-Database-Tasks-1-and-2-July-2017-Presentation.pdf" TargetMode="External"/><Relationship Id="rId70" Type="http://schemas.openxmlformats.org/officeDocument/2006/relationships/hyperlink" Target="http://srrttf.org/wp-content/uploads/2017/08/Potential-PCB-Control-Actions-1.pdf" TargetMode="External"/><Relationship Id="rId75" Type="http://schemas.openxmlformats.org/officeDocument/2006/relationships/hyperlink" Target="http://srrttf.org/wp-content/uploads/2017/09/SRRTTF_LimnoTech_09_27_2017_Fingerprinting.pdf" TargetMode="External"/><Relationship Id="rId83" Type="http://schemas.openxmlformats.org/officeDocument/2006/relationships/hyperlink" Target="http://srrttf.org/?p=8398" TargetMode="External"/><Relationship Id="rId88" Type="http://schemas.openxmlformats.org/officeDocument/2006/relationships/header" Target="header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rrttf.org/wp-content/uploads/2017/03/Draft_SOW_for_2017_SRRTTF_Technical_Activities-_03-15-17.pdf" TargetMode="External"/><Relationship Id="rId28" Type="http://schemas.openxmlformats.org/officeDocument/2006/relationships/hyperlink" Target="http://srrttf.org/wp-content/uploads/2017/04/2015-Phase-3-Duwamish-RU-template2.pdf" TargetMode="External"/><Relationship Id="rId36" Type="http://schemas.openxmlformats.org/officeDocument/2006/relationships/hyperlink" Target="http://srrttf.org/wp-content/uploads/2017/04/Spokane-Industrial-Park-Sewage-Treatment-map.pdf" TargetMode="External"/><Relationship Id="rId49" Type="http://schemas.openxmlformats.org/officeDocument/2006/relationships/hyperlink" Target="http://srrttf.org/wp-content/uploads/2017/06/Website-proposal.pdf" TargetMode="External"/><Relationship Id="rId57" Type="http://schemas.openxmlformats.org/officeDocument/2006/relationships/hyperlink" Target="http://srrttf.org/?p=8185" TargetMode="External"/><Relationship Id="rId10" Type="http://schemas.openxmlformats.org/officeDocument/2006/relationships/header" Target="header2.xml"/><Relationship Id="rId31" Type="http://schemas.openxmlformats.org/officeDocument/2006/relationships/hyperlink" Target="http://srrttf.org/wp-content/uploads/2017/04/Fish-Feed-Supplier-PCB-Reporting-Requirements_CargillEwos_McNicol-2017Ma....pdf" TargetMode="External"/><Relationship Id="rId44" Type="http://schemas.openxmlformats.org/officeDocument/2006/relationships/hyperlink" Target="http://srrttf.org/wp-content/uploads/2017/05/Response-to-Leg.Fiscal-Inquiry-May-2017.pdf" TargetMode="External"/><Relationship Id="rId52" Type="http://schemas.openxmlformats.org/officeDocument/2006/relationships/hyperlink" Target="http://srrttf.org/?p=8319" TargetMode="External"/><Relationship Id="rId60" Type="http://schemas.openxmlformats.org/officeDocument/2006/relationships/hyperlink" Target="http://srrttf.org/wp-content/uploads/2017/07/HomologSpecificMassBalance_Draft-07-19-2017.pdf" TargetMode="External"/><Relationship Id="rId65" Type="http://schemas.openxmlformats.org/officeDocument/2006/relationships/hyperlink" Target="http://srrttf.org/wp-content/uploads/2017/08/SRRTTF_LimnoTech_08_22_2017_BioaccumulationScope.pdf" TargetMode="External"/><Relationship Id="rId73" Type="http://schemas.openxmlformats.org/officeDocument/2006/relationships/hyperlink" Target="http://srrttf.org/wp-content/uploads/2017/08/Panel-3_spokane-river-forum_3.8.16-revised.pdf" TargetMode="External"/><Relationship Id="rId78" Type="http://schemas.openxmlformats.org/officeDocument/2006/relationships/hyperlink" Target="http://srrttf.org/wp-content/uploads/2017/09/GroundwaterFingerprintingMemo_DRAFT_092517.pdf" TargetMode="External"/><Relationship Id="rId81" Type="http://schemas.openxmlformats.org/officeDocument/2006/relationships/hyperlink" Target="http://srrttf.org/wp-content/uploads/2017/09/fy2017-estimate-of-PCB-in-stormwater.pdf" TargetMode="External"/><Relationship Id="rId86" Type="http://schemas.openxmlformats.org/officeDocument/2006/relationships/hyperlink" Target="http://srrttf.org/wp-content/uploads/2017/10/GroundwaterFingerprintingMemo_REVIEW_DRAFT_101817-1.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4F95-054D-485C-BB0D-E80F9030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11993</Words>
  <Characters>68363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Kara Michelle</dc:creator>
  <cp:keywords/>
  <dc:description/>
  <cp:lastModifiedBy>Page, C</cp:lastModifiedBy>
  <cp:revision>5</cp:revision>
  <dcterms:created xsi:type="dcterms:W3CDTF">2018-01-11T18:46:00Z</dcterms:created>
  <dcterms:modified xsi:type="dcterms:W3CDTF">2018-01-12T17:54:00Z</dcterms:modified>
</cp:coreProperties>
</file>