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0E5" w:rsidRPr="00A0780C" w:rsidRDefault="002650E5" w:rsidP="0084264E">
      <w:pPr>
        <w:rPr>
          <w:rFonts w:ascii="Garamond" w:hAnsi="Garamond"/>
          <w:sz w:val="22"/>
          <w:szCs w:val="22"/>
        </w:rPr>
      </w:pPr>
    </w:p>
    <w:p w:rsidR="00290250" w:rsidRPr="00A0780C" w:rsidRDefault="00F820E4" w:rsidP="0084264E">
      <w:pPr>
        <w:pStyle w:val="Heading1"/>
        <w:rPr>
          <w:rFonts w:ascii="Garamond" w:hAnsi="Garamond" w:cs="Calibri"/>
          <w:sz w:val="22"/>
          <w:szCs w:val="22"/>
        </w:rPr>
      </w:pPr>
      <w:r w:rsidRPr="00A0780C">
        <w:rPr>
          <w:rFonts w:ascii="Garamond" w:hAnsi="Garamond" w:cs="Calibri"/>
          <w:sz w:val="22"/>
          <w:szCs w:val="22"/>
        </w:rPr>
        <w:t>Spokane River Regional Toxics Task Force</w:t>
      </w:r>
    </w:p>
    <w:p w:rsidR="00F76D9A" w:rsidRPr="00A0780C" w:rsidRDefault="00F76D9A" w:rsidP="0084264E">
      <w:pPr>
        <w:rPr>
          <w:rFonts w:ascii="Garamond" w:hAnsi="Garamond"/>
          <w:sz w:val="22"/>
          <w:szCs w:val="22"/>
        </w:rPr>
      </w:pPr>
      <w:r w:rsidRPr="00A0780C">
        <w:rPr>
          <w:rFonts w:ascii="Garamond" w:hAnsi="Garamond"/>
          <w:sz w:val="22"/>
          <w:szCs w:val="22"/>
        </w:rPr>
        <w:tab/>
      </w:r>
      <w:r w:rsidRPr="00A0780C">
        <w:rPr>
          <w:rFonts w:ascii="Garamond" w:hAnsi="Garamond"/>
          <w:sz w:val="22"/>
          <w:szCs w:val="22"/>
        </w:rPr>
        <w:tab/>
      </w:r>
      <w:r w:rsidRPr="00A0780C">
        <w:rPr>
          <w:rFonts w:ascii="Garamond" w:hAnsi="Garamond"/>
          <w:sz w:val="22"/>
          <w:szCs w:val="22"/>
        </w:rPr>
        <w:tab/>
      </w:r>
      <w:r w:rsidRPr="00A0780C">
        <w:rPr>
          <w:rFonts w:ascii="Garamond" w:hAnsi="Garamond"/>
          <w:sz w:val="22"/>
          <w:szCs w:val="22"/>
        </w:rPr>
        <w:tab/>
      </w:r>
      <w:r w:rsidRPr="00A0780C">
        <w:rPr>
          <w:rFonts w:ascii="Garamond" w:hAnsi="Garamond"/>
          <w:sz w:val="22"/>
          <w:szCs w:val="22"/>
        </w:rPr>
        <w:tab/>
      </w:r>
      <w:r w:rsidRPr="00A0780C">
        <w:rPr>
          <w:rFonts w:ascii="Garamond" w:hAnsi="Garamond"/>
          <w:sz w:val="22"/>
          <w:szCs w:val="22"/>
        </w:rPr>
        <w:tab/>
      </w:r>
      <w:r w:rsidR="00E85F02" w:rsidRPr="00A0780C">
        <w:rPr>
          <w:rFonts w:ascii="Garamond" w:hAnsi="Garamond"/>
          <w:sz w:val="22"/>
          <w:szCs w:val="22"/>
        </w:rPr>
        <w:tab/>
        <w:t xml:space="preserve"> </w:t>
      </w:r>
      <w:r w:rsidR="002765C4" w:rsidRPr="00A0780C">
        <w:rPr>
          <w:rFonts w:ascii="Garamond" w:hAnsi="Garamond"/>
          <w:sz w:val="22"/>
          <w:szCs w:val="22"/>
        </w:rPr>
        <w:t xml:space="preserve">   </w:t>
      </w:r>
      <w:r w:rsidRPr="00A0780C">
        <w:rPr>
          <w:rFonts w:ascii="Garamond" w:hAnsi="Garamond"/>
          <w:sz w:val="22"/>
          <w:szCs w:val="22"/>
        </w:rPr>
        <w:t>Q</w:t>
      </w:r>
      <w:r w:rsidR="005B7A1F" w:rsidRPr="00A0780C">
        <w:rPr>
          <w:rFonts w:ascii="Garamond" w:hAnsi="Garamond"/>
          <w:sz w:val="22"/>
          <w:szCs w:val="22"/>
        </w:rPr>
        <w:t xml:space="preserve">uarterly Report </w:t>
      </w:r>
      <w:r w:rsidR="00EE60B2">
        <w:rPr>
          <w:rFonts w:ascii="Garamond" w:hAnsi="Garamond"/>
          <w:sz w:val="22"/>
          <w:szCs w:val="22"/>
        </w:rPr>
        <w:t>22</w:t>
      </w:r>
      <w:r w:rsidR="00E308E2">
        <w:rPr>
          <w:rFonts w:ascii="Garamond" w:hAnsi="Garamond"/>
          <w:sz w:val="22"/>
          <w:szCs w:val="22"/>
        </w:rPr>
        <w:t xml:space="preserve">: </w:t>
      </w:r>
      <w:r w:rsidR="005B7A1F" w:rsidRPr="00A0780C">
        <w:rPr>
          <w:rFonts w:ascii="Garamond" w:hAnsi="Garamond"/>
          <w:sz w:val="22"/>
          <w:szCs w:val="22"/>
        </w:rPr>
        <w:t>(</w:t>
      </w:r>
      <w:r w:rsidR="00FE2527">
        <w:rPr>
          <w:rFonts w:ascii="Garamond" w:hAnsi="Garamond"/>
          <w:sz w:val="22"/>
          <w:szCs w:val="22"/>
        </w:rPr>
        <w:t>10</w:t>
      </w:r>
      <w:r w:rsidR="00736FF3" w:rsidRPr="00A0780C">
        <w:rPr>
          <w:rFonts w:ascii="Garamond" w:hAnsi="Garamond"/>
          <w:sz w:val="22"/>
          <w:szCs w:val="22"/>
        </w:rPr>
        <w:t>/1/17</w:t>
      </w:r>
      <w:r w:rsidR="00932AB6" w:rsidRPr="00A0780C">
        <w:rPr>
          <w:rFonts w:ascii="Garamond" w:hAnsi="Garamond"/>
          <w:sz w:val="22"/>
          <w:szCs w:val="22"/>
        </w:rPr>
        <w:t xml:space="preserve"> – </w:t>
      </w:r>
      <w:r w:rsidR="00FE2527">
        <w:rPr>
          <w:rFonts w:ascii="Garamond" w:hAnsi="Garamond"/>
          <w:sz w:val="22"/>
          <w:szCs w:val="22"/>
        </w:rPr>
        <w:t>12</w:t>
      </w:r>
      <w:r w:rsidR="00303A6B">
        <w:rPr>
          <w:rFonts w:ascii="Garamond" w:hAnsi="Garamond"/>
          <w:sz w:val="22"/>
          <w:szCs w:val="22"/>
        </w:rPr>
        <w:t>/3</w:t>
      </w:r>
      <w:r w:rsidR="00FE2527">
        <w:rPr>
          <w:rFonts w:ascii="Garamond" w:hAnsi="Garamond"/>
          <w:sz w:val="22"/>
          <w:szCs w:val="22"/>
        </w:rPr>
        <w:t>1</w:t>
      </w:r>
      <w:r w:rsidR="00736FF3" w:rsidRPr="00A0780C">
        <w:rPr>
          <w:rFonts w:ascii="Garamond" w:hAnsi="Garamond"/>
          <w:sz w:val="22"/>
          <w:szCs w:val="22"/>
        </w:rPr>
        <w:t>/17</w:t>
      </w:r>
      <w:r w:rsidR="006F309E" w:rsidRPr="00A0780C">
        <w:rPr>
          <w:rFonts w:ascii="Garamond" w:hAnsi="Garamond"/>
          <w:sz w:val="22"/>
          <w:szCs w:val="22"/>
        </w:rPr>
        <w:t>)</w:t>
      </w:r>
    </w:p>
    <w:p w:rsidR="0018407D" w:rsidRPr="00A0780C" w:rsidRDefault="0018407D" w:rsidP="0084264E">
      <w:pPr>
        <w:rPr>
          <w:rFonts w:ascii="Garamond" w:hAnsi="Garamond"/>
          <w:sz w:val="22"/>
          <w:szCs w:val="22"/>
        </w:rPr>
      </w:pPr>
    </w:p>
    <w:p w:rsidR="0022317B" w:rsidRPr="00A0780C" w:rsidRDefault="0022317B" w:rsidP="0084264E">
      <w:pPr>
        <w:rPr>
          <w:rFonts w:ascii="Garamond" w:hAnsi="Garamond"/>
          <w:sz w:val="22"/>
          <w:szCs w:val="22"/>
        </w:rPr>
      </w:pPr>
      <w:r w:rsidRPr="00A0780C">
        <w:rPr>
          <w:rFonts w:ascii="Garamond" w:hAnsi="Garamond"/>
          <w:b/>
          <w:sz w:val="22"/>
          <w:szCs w:val="22"/>
        </w:rPr>
        <w:t>Project Staff:</w:t>
      </w:r>
      <w:r w:rsidR="009323D9" w:rsidRPr="00A0780C">
        <w:rPr>
          <w:rFonts w:ascii="Garamond" w:hAnsi="Garamond"/>
          <w:sz w:val="22"/>
          <w:szCs w:val="22"/>
        </w:rPr>
        <w:t xml:space="preserve"> Chris Page</w:t>
      </w:r>
      <w:r w:rsidR="00D41EFC" w:rsidRPr="00A0780C">
        <w:rPr>
          <w:rFonts w:ascii="Garamond" w:hAnsi="Garamond"/>
          <w:sz w:val="22"/>
          <w:szCs w:val="22"/>
        </w:rPr>
        <w:t>,</w:t>
      </w:r>
      <w:r w:rsidR="00D70646" w:rsidRPr="00A0780C">
        <w:rPr>
          <w:rFonts w:ascii="Garamond" w:hAnsi="Garamond"/>
          <w:sz w:val="22"/>
          <w:szCs w:val="22"/>
        </w:rPr>
        <w:t xml:space="preserve"> Facilitator;</w:t>
      </w:r>
      <w:r w:rsidR="00D41EFC" w:rsidRPr="00A0780C">
        <w:rPr>
          <w:rFonts w:ascii="Garamond" w:hAnsi="Garamond"/>
          <w:sz w:val="22"/>
          <w:szCs w:val="22"/>
        </w:rPr>
        <w:t xml:space="preserve"> </w:t>
      </w:r>
      <w:r w:rsidR="00C72017" w:rsidRPr="00A0780C">
        <w:rPr>
          <w:rFonts w:ascii="Garamond" w:hAnsi="Garamond"/>
          <w:sz w:val="22"/>
          <w:szCs w:val="22"/>
        </w:rPr>
        <w:t>Kara Whitman</w:t>
      </w:r>
      <w:r w:rsidR="00121B7E" w:rsidRPr="00A0780C">
        <w:rPr>
          <w:rFonts w:ascii="Garamond" w:hAnsi="Garamond"/>
          <w:sz w:val="22"/>
          <w:szCs w:val="22"/>
        </w:rPr>
        <w:t>,</w:t>
      </w:r>
      <w:r w:rsidR="00D70646" w:rsidRPr="00A0780C">
        <w:rPr>
          <w:rFonts w:ascii="Garamond" w:hAnsi="Garamond"/>
          <w:sz w:val="22"/>
          <w:szCs w:val="22"/>
        </w:rPr>
        <w:t xml:space="preserve"> Project Coordinator;</w:t>
      </w:r>
      <w:r w:rsidR="00121B7E" w:rsidRPr="00A0780C">
        <w:rPr>
          <w:rFonts w:ascii="Garamond" w:hAnsi="Garamond"/>
          <w:sz w:val="22"/>
          <w:szCs w:val="22"/>
        </w:rPr>
        <w:t xml:space="preserve"> Michael Kern,</w:t>
      </w:r>
      <w:r w:rsidR="00D70646" w:rsidRPr="00A0780C">
        <w:rPr>
          <w:rFonts w:ascii="Garamond" w:hAnsi="Garamond"/>
          <w:sz w:val="22"/>
          <w:szCs w:val="22"/>
        </w:rPr>
        <w:t xml:space="preserve"> Strategic Advisor;</w:t>
      </w:r>
      <w:r w:rsidR="00121B7E" w:rsidRPr="00A0780C">
        <w:rPr>
          <w:rFonts w:ascii="Garamond" w:hAnsi="Garamond"/>
          <w:sz w:val="22"/>
          <w:szCs w:val="22"/>
        </w:rPr>
        <w:t xml:space="preserve"> Cheryl Rajcich</w:t>
      </w:r>
      <w:r w:rsidR="00D70646" w:rsidRPr="00A0780C">
        <w:rPr>
          <w:rFonts w:ascii="Garamond" w:hAnsi="Garamond"/>
          <w:sz w:val="22"/>
          <w:szCs w:val="22"/>
        </w:rPr>
        <w:t xml:space="preserve">, </w:t>
      </w:r>
      <w:r w:rsidR="00D6580C" w:rsidRPr="00A0780C">
        <w:rPr>
          <w:rFonts w:ascii="Garamond" w:hAnsi="Garamond"/>
          <w:sz w:val="22"/>
          <w:szCs w:val="22"/>
        </w:rPr>
        <w:t xml:space="preserve">Operations </w:t>
      </w:r>
      <w:r w:rsidR="00D70646" w:rsidRPr="00A0780C">
        <w:rPr>
          <w:rFonts w:ascii="Garamond" w:hAnsi="Garamond"/>
          <w:sz w:val="22"/>
          <w:szCs w:val="22"/>
        </w:rPr>
        <w:t>Manager</w:t>
      </w:r>
      <w:r w:rsidR="00871107" w:rsidRPr="00A0780C">
        <w:rPr>
          <w:rFonts w:ascii="Garamond" w:hAnsi="Garamond"/>
          <w:sz w:val="22"/>
          <w:szCs w:val="22"/>
        </w:rPr>
        <w:t xml:space="preserve"> </w:t>
      </w:r>
    </w:p>
    <w:p w:rsidR="00F820E4" w:rsidRPr="00A0780C" w:rsidRDefault="00F820E4" w:rsidP="0084264E">
      <w:pPr>
        <w:rPr>
          <w:rFonts w:ascii="Garamond" w:hAnsi="Garamond"/>
          <w:sz w:val="22"/>
          <w:szCs w:val="22"/>
        </w:rPr>
      </w:pPr>
    </w:p>
    <w:p w:rsidR="0018407D" w:rsidRPr="00A0780C" w:rsidRDefault="0022317B" w:rsidP="0084264E">
      <w:pPr>
        <w:rPr>
          <w:rFonts w:ascii="Garamond" w:hAnsi="Garamond"/>
          <w:b/>
          <w:sz w:val="22"/>
          <w:szCs w:val="22"/>
        </w:rPr>
      </w:pPr>
      <w:r w:rsidRPr="00A0780C">
        <w:rPr>
          <w:rFonts w:ascii="Garamond" w:hAnsi="Garamond"/>
          <w:b/>
          <w:sz w:val="22"/>
          <w:szCs w:val="22"/>
        </w:rPr>
        <w:t xml:space="preserve">Project Purpose: </w:t>
      </w:r>
      <w:r w:rsidR="00D75A1C" w:rsidRPr="00A0780C">
        <w:rPr>
          <w:rFonts w:ascii="Garamond" w:hAnsi="Garamond"/>
          <w:sz w:val="22"/>
          <w:szCs w:val="22"/>
        </w:rPr>
        <w:t>The Spokane River Regional Toxics Task Force (SRRTTF) is a</w:t>
      </w:r>
      <w:r w:rsidR="00F820E4" w:rsidRPr="00A0780C">
        <w:rPr>
          <w:rFonts w:ascii="Garamond" w:hAnsi="Garamond"/>
          <w:sz w:val="22"/>
          <w:szCs w:val="22"/>
        </w:rPr>
        <w:t xml:space="preserve"> collaborative group of governmental agencies, private industries, environmental organizations</w:t>
      </w:r>
      <w:r w:rsidR="00D507CC" w:rsidRPr="00A0780C">
        <w:rPr>
          <w:rFonts w:ascii="Garamond" w:hAnsi="Garamond"/>
          <w:sz w:val="22"/>
          <w:szCs w:val="22"/>
        </w:rPr>
        <w:t>, and interested parties</w:t>
      </w:r>
      <w:r w:rsidR="00F820E4" w:rsidRPr="00A0780C">
        <w:rPr>
          <w:rFonts w:ascii="Garamond" w:hAnsi="Garamond"/>
          <w:sz w:val="22"/>
          <w:szCs w:val="22"/>
        </w:rPr>
        <w:t xml:space="preserve"> </w:t>
      </w:r>
      <w:r w:rsidR="00BD3501" w:rsidRPr="00A0780C">
        <w:rPr>
          <w:rFonts w:ascii="Garamond" w:hAnsi="Garamond"/>
          <w:sz w:val="22"/>
          <w:szCs w:val="22"/>
        </w:rPr>
        <w:t xml:space="preserve">attempting an innovative approach to the reduction of PCBs within the Spokane River. </w:t>
      </w:r>
    </w:p>
    <w:p w:rsidR="007963C2" w:rsidRPr="00A0780C" w:rsidRDefault="00187DCC" w:rsidP="00187DCC">
      <w:pPr>
        <w:tabs>
          <w:tab w:val="left" w:pos="5250"/>
        </w:tabs>
        <w:spacing w:after="120"/>
        <w:rPr>
          <w:rFonts w:ascii="Garamond" w:hAnsi="Garamond"/>
          <w:b/>
          <w:sz w:val="22"/>
          <w:szCs w:val="22"/>
        </w:rPr>
      </w:pPr>
      <w:r w:rsidRPr="00A0780C">
        <w:rPr>
          <w:rFonts w:ascii="Garamond" w:hAnsi="Garamond"/>
          <w:b/>
          <w:sz w:val="22"/>
          <w:szCs w:val="22"/>
        </w:rPr>
        <w:tab/>
      </w:r>
    </w:p>
    <w:p w:rsidR="00E85F02" w:rsidRPr="00A0780C" w:rsidRDefault="002B4E3C" w:rsidP="0084264E">
      <w:pPr>
        <w:spacing w:after="120"/>
        <w:rPr>
          <w:rFonts w:ascii="Garamond" w:hAnsi="Garamond"/>
          <w:b/>
          <w:sz w:val="22"/>
          <w:szCs w:val="22"/>
        </w:rPr>
      </w:pPr>
      <w:r w:rsidRPr="00A0780C">
        <w:rPr>
          <w:rFonts w:ascii="Garamond" w:hAnsi="Garamond"/>
          <w:b/>
          <w:sz w:val="22"/>
          <w:szCs w:val="22"/>
        </w:rPr>
        <w:t>Q</w:t>
      </w:r>
      <w:r w:rsidR="00AF4F31" w:rsidRPr="00A0780C">
        <w:rPr>
          <w:rFonts w:ascii="Garamond" w:hAnsi="Garamond"/>
          <w:b/>
          <w:sz w:val="22"/>
          <w:szCs w:val="22"/>
        </w:rPr>
        <w:t>1</w:t>
      </w:r>
      <w:r w:rsidR="00C36B9A" w:rsidRPr="00A0780C">
        <w:rPr>
          <w:rFonts w:ascii="Garamond" w:hAnsi="Garamond"/>
          <w:b/>
          <w:sz w:val="22"/>
          <w:szCs w:val="22"/>
        </w:rPr>
        <w:t>8</w:t>
      </w:r>
      <w:r w:rsidR="009E60C0" w:rsidRPr="00A0780C">
        <w:rPr>
          <w:rFonts w:ascii="Garamond" w:hAnsi="Garamond"/>
          <w:b/>
          <w:sz w:val="22"/>
          <w:szCs w:val="22"/>
        </w:rPr>
        <w:t xml:space="preserve"> </w:t>
      </w:r>
      <w:r w:rsidR="003F4F96" w:rsidRPr="00A0780C">
        <w:rPr>
          <w:rFonts w:ascii="Garamond" w:hAnsi="Garamond"/>
          <w:b/>
          <w:sz w:val="22"/>
          <w:szCs w:val="22"/>
        </w:rPr>
        <w:t>Meeting Schedule</w:t>
      </w:r>
      <w:r w:rsidR="00290250" w:rsidRPr="00A0780C">
        <w:rPr>
          <w:rFonts w:ascii="Garamond" w:hAnsi="Garamond"/>
          <w:b/>
          <w:sz w:val="22"/>
          <w:szCs w:val="22"/>
        </w:rPr>
        <w:t>:</w:t>
      </w:r>
    </w:p>
    <w:tbl>
      <w:tblPr>
        <w:tblW w:w="9806" w:type="dxa"/>
        <w:jc w:val="center"/>
        <w:tblLayout w:type="fixed"/>
        <w:tblLook w:val="04A0" w:firstRow="1" w:lastRow="0" w:firstColumn="1" w:lastColumn="0" w:noHBand="0" w:noVBand="1"/>
      </w:tblPr>
      <w:tblGrid>
        <w:gridCol w:w="2264"/>
        <w:gridCol w:w="523"/>
        <w:gridCol w:w="718"/>
        <w:gridCol w:w="810"/>
        <w:gridCol w:w="764"/>
        <w:gridCol w:w="21"/>
        <w:gridCol w:w="594"/>
        <w:gridCol w:w="812"/>
        <w:gridCol w:w="813"/>
        <w:gridCol w:w="813"/>
        <w:gridCol w:w="11"/>
        <w:gridCol w:w="529"/>
        <w:gridCol w:w="11"/>
        <w:gridCol w:w="1123"/>
      </w:tblGrid>
      <w:tr w:rsidR="00FE2527" w:rsidRPr="00A0780C" w:rsidTr="00FE2527">
        <w:trPr>
          <w:trHeight w:val="315"/>
          <w:jc w:val="center"/>
        </w:trPr>
        <w:tc>
          <w:tcPr>
            <w:tcW w:w="2787" w:type="dxa"/>
            <w:gridSpan w:val="2"/>
            <w:tcBorders>
              <w:top w:val="nil"/>
              <w:left w:val="nil"/>
              <w:bottom w:val="single" w:sz="8" w:space="0" w:color="auto"/>
              <w:right w:val="single" w:sz="4" w:space="0" w:color="auto"/>
            </w:tcBorders>
            <w:shd w:val="clear" w:color="auto" w:fill="auto"/>
            <w:noWrap/>
            <w:vAlign w:val="center"/>
            <w:hideMark/>
          </w:tcPr>
          <w:p w:rsidR="00FE2527" w:rsidRPr="00A0780C" w:rsidRDefault="00FE2527" w:rsidP="0084264E">
            <w:pPr>
              <w:rPr>
                <w:rFonts w:ascii="Garamond" w:hAnsi="Garamond"/>
                <w:color w:val="000000"/>
                <w:sz w:val="22"/>
                <w:szCs w:val="22"/>
              </w:rPr>
            </w:pPr>
            <w:r w:rsidRPr="00A0780C">
              <w:rPr>
                <w:rFonts w:ascii="Garamond" w:hAnsi="Garamond"/>
                <w:color w:val="000000"/>
                <w:sz w:val="22"/>
                <w:szCs w:val="22"/>
              </w:rPr>
              <w:t> </w:t>
            </w:r>
          </w:p>
        </w:tc>
        <w:tc>
          <w:tcPr>
            <w:tcW w:w="2313"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E2527" w:rsidRPr="00A0780C" w:rsidRDefault="00FE2527" w:rsidP="005C1126">
            <w:pPr>
              <w:jc w:val="center"/>
              <w:rPr>
                <w:rFonts w:ascii="Garamond" w:hAnsi="Garamond"/>
                <w:color w:val="000000"/>
                <w:sz w:val="22"/>
                <w:szCs w:val="22"/>
              </w:rPr>
            </w:pPr>
            <w:r>
              <w:rPr>
                <w:rFonts w:ascii="Garamond" w:hAnsi="Garamond"/>
                <w:color w:val="FFFFFF"/>
                <w:sz w:val="22"/>
                <w:szCs w:val="22"/>
              </w:rPr>
              <w:t>October</w:t>
            </w: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FE2527" w:rsidRPr="00A0780C" w:rsidRDefault="00FE2527" w:rsidP="005C1126">
            <w:pPr>
              <w:jc w:val="center"/>
              <w:rPr>
                <w:rFonts w:ascii="Garamond" w:hAnsi="Garamond"/>
                <w:color w:val="000000"/>
                <w:sz w:val="22"/>
                <w:szCs w:val="22"/>
              </w:rPr>
            </w:pPr>
          </w:p>
        </w:tc>
        <w:tc>
          <w:tcPr>
            <w:tcW w:w="2438"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E2527" w:rsidRPr="00A0780C" w:rsidRDefault="00FE2527" w:rsidP="005C1126">
            <w:pPr>
              <w:jc w:val="center"/>
              <w:rPr>
                <w:rFonts w:ascii="Garamond" w:hAnsi="Garamond"/>
                <w:color w:val="000000"/>
                <w:sz w:val="22"/>
                <w:szCs w:val="22"/>
              </w:rPr>
            </w:pPr>
            <w:r>
              <w:rPr>
                <w:rFonts w:ascii="Garamond" w:hAnsi="Garamond"/>
                <w:color w:val="FFFFFF" w:themeColor="background1"/>
                <w:sz w:val="22"/>
                <w:szCs w:val="22"/>
              </w:rPr>
              <w:t>November</w:t>
            </w:r>
          </w:p>
        </w:tc>
        <w:tc>
          <w:tcPr>
            <w:tcW w:w="540" w:type="dxa"/>
            <w:gridSpan w:val="2"/>
            <w:tcBorders>
              <w:top w:val="nil"/>
              <w:left w:val="single" w:sz="4" w:space="0" w:color="auto"/>
              <w:bottom w:val="single" w:sz="4" w:space="0" w:color="auto"/>
              <w:right w:val="nil"/>
            </w:tcBorders>
            <w:shd w:val="clear" w:color="auto" w:fill="auto"/>
            <w:noWrap/>
            <w:vAlign w:val="center"/>
            <w:hideMark/>
          </w:tcPr>
          <w:p w:rsidR="00FE2527" w:rsidRPr="00A0780C" w:rsidRDefault="00FE2527" w:rsidP="005C1126">
            <w:pPr>
              <w:jc w:val="center"/>
              <w:rPr>
                <w:rFonts w:ascii="Garamond" w:hAnsi="Garamond"/>
                <w:color w:val="000000"/>
                <w:sz w:val="22"/>
                <w:szCs w:val="22"/>
              </w:rPr>
            </w:pPr>
          </w:p>
        </w:tc>
        <w:tc>
          <w:tcPr>
            <w:tcW w:w="1134" w:type="dxa"/>
            <w:gridSpan w:val="2"/>
            <w:tcBorders>
              <w:top w:val="nil"/>
              <w:left w:val="nil"/>
              <w:bottom w:val="single" w:sz="4" w:space="0" w:color="auto"/>
            </w:tcBorders>
            <w:shd w:val="clear" w:color="auto" w:fill="000000" w:themeFill="text1"/>
            <w:vAlign w:val="center"/>
          </w:tcPr>
          <w:p w:rsidR="00FE2527" w:rsidRPr="00A0780C" w:rsidRDefault="00FE2527" w:rsidP="0084264E">
            <w:pPr>
              <w:jc w:val="center"/>
              <w:rPr>
                <w:rFonts w:ascii="Garamond" w:hAnsi="Garamond"/>
                <w:color w:val="FFFFFF" w:themeColor="background1"/>
                <w:sz w:val="22"/>
                <w:szCs w:val="22"/>
              </w:rPr>
            </w:pPr>
            <w:r>
              <w:rPr>
                <w:rFonts w:ascii="Garamond" w:hAnsi="Garamond"/>
                <w:color w:val="FFFFFF" w:themeColor="background1"/>
                <w:sz w:val="22"/>
                <w:szCs w:val="22"/>
              </w:rPr>
              <w:t>December</w:t>
            </w:r>
          </w:p>
        </w:tc>
      </w:tr>
      <w:tr w:rsidR="00FE2527" w:rsidRPr="005C1126" w:rsidTr="00FE2527">
        <w:trPr>
          <w:trHeight w:val="448"/>
          <w:jc w:val="center"/>
        </w:trPr>
        <w:tc>
          <w:tcPr>
            <w:tcW w:w="2264"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FE2527" w:rsidRPr="00A0780C" w:rsidRDefault="00FE2527" w:rsidP="003A4205">
            <w:pPr>
              <w:rPr>
                <w:rFonts w:ascii="Garamond" w:hAnsi="Garamond"/>
                <w:b/>
                <w:bCs/>
                <w:color w:val="000000"/>
                <w:sz w:val="22"/>
                <w:szCs w:val="22"/>
              </w:rPr>
            </w:pPr>
            <w:r w:rsidRPr="00A0780C">
              <w:rPr>
                <w:rFonts w:ascii="Garamond" w:hAnsi="Garamond"/>
                <w:b/>
                <w:bCs/>
                <w:color w:val="000000"/>
                <w:sz w:val="22"/>
                <w:szCs w:val="22"/>
              </w:rPr>
              <w:t>Task Force Meetings</w:t>
            </w:r>
          </w:p>
        </w:tc>
        <w:tc>
          <w:tcPr>
            <w:tcW w:w="523" w:type="dxa"/>
            <w:vMerge w:val="restart"/>
            <w:tcBorders>
              <w:top w:val="nil"/>
              <w:left w:val="single" w:sz="8" w:space="0" w:color="000000"/>
              <w:bottom w:val="single" w:sz="8" w:space="0" w:color="000000"/>
              <w:right w:val="single" w:sz="4" w:space="0" w:color="auto"/>
            </w:tcBorders>
            <w:shd w:val="clear" w:color="000000" w:fill="C2D69A"/>
            <w:noWrap/>
            <w:textDirection w:val="btLr"/>
            <w:vAlign w:val="center"/>
            <w:hideMark/>
          </w:tcPr>
          <w:p w:rsidR="00FE2527" w:rsidRPr="00A0780C" w:rsidRDefault="00FE2527" w:rsidP="00903392">
            <w:pPr>
              <w:jc w:val="center"/>
              <w:rPr>
                <w:rFonts w:ascii="Garamond" w:hAnsi="Garamond"/>
                <w:b/>
                <w:bCs/>
                <w:color w:val="000000"/>
                <w:sz w:val="22"/>
                <w:szCs w:val="22"/>
              </w:rPr>
            </w:pPr>
            <w:r w:rsidRPr="00A0780C">
              <w:rPr>
                <w:rFonts w:ascii="Garamond" w:hAnsi="Garamond"/>
                <w:b/>
                <w:bCs/>
                <w:color w:val="000000"/>
                <w:sz w:val="22"/>
                <w:szCs w:val="22"/>
              </w:rPr>
              <w:t>2017</w:t>
            </w:r>
          </w:p>
        </w:tc>
        <w:tc>
          <w:tcPr>
            <w:tcW w:w="718" w:type="dxa"/>
            <w:tcBorders>
              <w:top w:val="single" w:sz="4" w:space="0" w:color="auto"/>
              <w:left w:val="single" w:sz="4" w:space="0" w:color="auto"/>
              <w:bottom w:val="single" w:sz="4" w:space="0" w:color="auto"/>
              <w:right w:val="single" w:sz="4" w:space="0" w:color="auto"/>
            </w:tcBorders>
            <w:shd w:val="clear" w:color="000000" w:fill="4F6228"/>
            <w:vAlign w:val="center"/>
          </w:tcPr>
          <w:p w:rsidR="00FE2527" w:rsidRPr="005C1126" w:rsidRDefault="00FE2527" w:rsidP="00FE2527">
            <w:pPr>
              <w:jc w:val="center"/>
              <w:rPr>
                <w:rFonts w:ascii="Garamond" w:hAnsi="Garamond"/>
                <w:bCs/>
                <w:color w:val="FFFFFF"/>
                <w:sz w:val="22"/>
                <w:szCs w:val="22"/>
              </w:rPr>
            </w:pPr>
            <w:r w:rsidRPr="005C1126">
              <w:rPr>
                <w:rFonts w:ascii="Garamond" w:hAnsi="Garamond"/>
                <w:bCs/>
                <w:color w:val="FFFFFF"/>
                <w:sz w:val="22"/>
                <w:szCs w:val="22"/>
              </w:rPr>
              <w:t>TT</w:t>
            </w:r>
          </w:p>
        </w:tc>
        <w:tc>
          <w:tcPr>
            <w:tcW w:w="810" w:type="dxa"/>
            <w:tcBorders>
              <w:top w:val="single" w:sz="4" w:space="0" w:color="auto"/>
              <w:left w:val="single" w:sz="4" w:space="0" w:color="auto"/>
              <w:bottom w:val="single" w:sz="4" w:space="0" w:color="auto"/>
              <w:right w:val="single" w:sz="4" w:space="0" w:color="auto"/>
            </w:tcBorders>
            <w:shd w:val="clear" w:color="000000" w:fill="4F6228"/>
            <w:vAlign w:val="center"/>
          </w:tcPr>
          <w:p w:rsidR="00FE2527" w:rsidRPr="005C1126" w:rsidRDefault="00FE2527" w:rsidP="00FE2527">
            <w:pPr>
              <w:jc w:val="center"/>
              <w:rPr>
                <w:rFonts w:ascii="Garamond" w:hAnsi="Garamond"/>
                <w:bCs/>
                <w:color w:val="FFFFFF"/>
                <w:sz w:val="22"/>
                <w:szCs w:val="22"/>
              </w:rPr>
            </w:pPr>
            <w:r>
              <w:rPr>
                <w:rFonts w:ascii="Garamond" w:hAnsi="Garamond"/>
                <w:bCs/>
                <w:color w:val="FFFFFF"/>
                <w:sz w:val="22"/>
                <w:szCs w:val="22"/>
              </w:rPr>
              <w:t>EO</w:t>
            </w:r>
          </w:p>
        </w:tc>
        <w:tc>
          <w:tcPr>
            <w:tcW w:w="764" w:type="dxa"/>
            <w:tcBorders>
              <w:top w:val="single" w:sz="4" w:space="0" w:color="auto"/>
              <w:left w:val="single" w:sz="4" w:space="0" w:color="auto"/>
              <w:bottom w:val="single" w:sz="4" w:space="0" w:color="auto"/>
              <w:right w:val="single" w:sz="4" w:space="0" w:color="auto"/>
            </w:tcBorders>
            <w:shd w:val="clear" w:color="000000" w:fill="4F6228"/>
            <w:vAlign w:val="center"/>
          </w:tcPr>
          <w:p w:rsidR="00FE2527" w:rsidRPr="005C1126" w:rsidRDefault="00FE2527" w:rsidP="00FE2527">
            <w:pPr>
              <w:jc w:val="center"/>
              <w:rPr>
                <w:rFonts w:ascii="Garamond" w:hAnsi="Garamond"/>
                <w:bCs/>
                <w:color w:val="FFFFFF"/>
                <w:sz w:val="22"/>
                <w:szCs w:val="22"/>
              </w:rPr>
            </w:pPr>
            <w:r w:rsidRPr="005C1126">
              <w:rPr>
                <w:rFonts w:ascii="Garamond" w:hAnsi="Garamond"/>
                <w:bCs/>
                <w:color w:val="FFFFFF"/>
                <w:sz w:val="22"/>
                <w:szCs w:val="22"/>
              </w:rPr>
              <w:t>TF</w:t>
            </w:r>
          </w:p>
        </w:tc>
        <w:tc>
          <w:tcPr>
            <w:tcW w:w="615" w:type="dxa"/>
            <w:gridSpan w:val="2"/>
            <w:tcBorders>
              <w:top w:val="single" w:sz="4" w:space="0" w:color="auto"/>
              <w:left w:val="single" w:sz="4" w:space="0" w:color="auto"/>
              <w:right w:val="single" w:sz="4" w:space="0" w:color="auto"/>
            </w:tcBorders>
            <w:shd w:val="clear" w:color="000000" w:fill="4F6228"/>
            <w:noWrap/>
            <w:vAlign w:val="center"/>
            <w:hideMark/>
          </w:tcPr>
          <w:p w:rsidR="00FE2527" w:rsidRPr="005C1126" w:rsidRDefault="00FE2527" w:rsidP="00FE2527">
            <w:pPr>
              <w:jc w:val="center"/>
              <w:rPr>
                <w:rFonts w:ascii="Garamond" w:hAnsi="Garamond"/>
                <w:bCs/>
                <w:color w:val="FFFFFF"/>
                <w:sz w:val="22"/>
                <w:szCs w:val="22"/>
              </w:rPr>
            </w:pPr>
          </w:p>
        </w:tc>
        <w:tc>
          <w:tcPr>
            <w:tcW w:w="812" w:type="dxa"/>
            <w:tcBorders>
              <w:top w:val="single" w:sz="4" w:space="0" w:color="auto"/>
              <w:left w:val="single" w:sz="4" w:space="0" w:color="auto"/>
              <w:bottom w:val="single" w:sz="4" w:space="0" w:color="auto"/>
              <w:right w:val="single" w:sz="4" w:space="0" w:color="auto"/>
            </w:tcBorders>
            <w:shd w:val="clear" w:color="000000" w:fill="4F6228"/>
            <w:noWrap/>
            <w:vAlign w:val="center"/>
            <w:hideMark/>
          </w:tcPr>
          <w:p w:rsidR="00FE2527" w:rsidRPr="005C1126" w:rsidRDefault="00FE2527" w:rsidP="00FE2527">
            <w:pPr>
              <w:jc w:val="center"/>
              <w:rPr>
                <w:rFonts w:ascii="Garamond" w:hAnsi="Garamond"/>
                <w:bCs/>
                <w:color w:val="FFFFFF"/>
                <w:sz w:val="22"/>
                <w:szCs w:val="22"/>
              </w:rPr>
            </w:pPr>
            <w:r w:rsidRPr="005C1126">
              <w:rPr>
                <w:rFonts w:ascii="Garamond" w:hAnsi="Garamond"/>
                <w:bCs/>
                <w:color w:val="FFFFFF"/>
                <w:sz w:val="22"/>
                <w:szCs w:val="22"/>
              </w:rPr>
              <w:t>TT</w:t>
            </w:r>
          </w:p>
        </w:tc>
        <w:tc>
          <w:tcPr>
            <w:tcW w:w="813" w:type="dxa"/>
            <w:tcBorders>
              <w:top w:val="single" w:sz="4" w:space="0" w:color="auto"/>
              <w:left w:val="single" w:sz="4" w:space="0" w:color="auto"/>
              <w:bottom w:val="single" w:sz="4" w:space="0" w:color="auto"/>
              <w:right w:val="single" w:sz="4" w:space="0" w:color="auto"/>
            </w:tcBorders>
            <w:shd w:val="clear" w:color="000000" w:fill="4F6228"/>
            <w:vAlign w:val="center"/>
          </w:tcPr>
          <w:p w:rsidR="00FE2527" w:rsidRPr="005C1126" w:rsidRDefault="00FE2527" w:rsidP="00FE2527">
            <w:pPr>
              <w:jc w:val="center"/>
              <w:rPr>
                <w:rFonts w:ascii="Garamond" w:hAnsi="Garamond"/>
                <w:color w:val="FFFFFF" w:themeColor="background1"/>
                <w:sz w:val="22"/>
                <w:szCs w:val="22"/>
              </w:rPr>
            </w:pPr>
            <w:r>
              <w:rPr>
                <w:rFonts w:ascii="Garamond" w:hAnsi="Garamond"/>
                <w:color w:val="FFFFFF" w:themeColor="background1"/>
                <w:sz w:val="22"/>
                <w:szCs w:val="22"/>
              </w:rPr>
              <w:t>EO</w:t>
            </w:r>
          </w:p>
        </w:tc>
        <w:tc>
          <w:tcPr>
            <w:tcW w:w="824" w:type="dxa"/>
            <w:gridSpan w:val="2"/>
            <w:tcBorders>
              <w:top w:val="single" w:sz="4" w:space="0" w:color="auto"/>
              <w:left w:val="single" w:sz="4" w:space="0" w:color="auto"/>
              <w:bottom w:val="single" w:sz="4" w:space="0" w:color="auto"/>
              <w:right w:val="single" w:sz="4" w:space="0" w:color="auto"/>
            </w:tcBorders>
            <w:shd w:val="clear" w:color="000000" w:fill="4F6228"/>
            <w:vAlign w:val="center"/>
          </w:tcPr>
          <w:p w:rsidR="00FE2527" w:rsidRPr="005C1126" w:rsidRDefault="00FE2527" w:rsidP="00FE2527">
            <w:pPr>
              <w:jc w:val="center"/>
              <w:rPr>
                <w:rFonts w:ascii="Garamond" w:hAnsi="Garamond"/>
                <w:color w:val="000000"/>
                <w:sz w:val="22"/>
                <w:szCs w:val="22"/>
              </w:rPr>
            </w:pPr>
            <w:r w:rsidRPr="005C1126">
              <w:rPr>
                <w:rFonts w:ascii="Garamond" w:hAnsi="Garamond"/>
                <w:color w:val="FFFFFF" w:themeColor="background1"/>
                <w:sz w:val="22"/>
                <w:szCs w:val="22"/>
              </w:rPr>
              <w:t>TF</w:t>
            </w:r>
          </w:p>
        </w:tc>
        <w:tc>
          <w:tcPr>
            <w:tcW w:w="540" w:type="dxa"/>
            <w:gridSpan w:val="2"/>
            <w:tcBorders>
              <w:top w:val="single" w:sz="4" w:space="0" w:color="auto"/>
              <w:left w:val="single" w:sz="4" w:space="0" w:color="auto"/>
              <w:right w:val="single" w:sz="4" w:space="0" w:color="auto"/>
            </w:tcBorders>
            <w:shd w:val="clear" w:color="000000" w:fill="4F6228"/>
            <w:noWrap/>
            <w:vAlign w:val="center"/>
            <w:hideMark/>
          </w:tcPr>
          <w:p w:rsidR="00FE2527" w:rsidRPr="005C1126" w:rsidRDefault="00FE2527" w:rsidP="003A4205">
            <w:pPr>
              <w:jc w:val="center"/>
              <w:rPr>
                <w:rFonts w:ascii="Garamond" w:hAnsi="Garamond"/>
                <w:color w:val="000000"/>
                <w:sz w:val="22"/>
                <w:szCs w:val="22"/>
              </w:rPr>
            </w:pPr>
          </w:p>
        </w:tc>
        <w:tc>
          <w:tcPr>
            <w:tcW w:w="1123" w:type="dxa"/>
            <w:vMerge w:val="restart"/>
            <w:tcBorders>
              <w:top w:val="single" w:sz="4" w:space="0" w:color="auto"/>
              <w:left w:val="single" w:sz="4" w:space="0" w:color="auto"/>
              <w:right w:val="single" w:sz="4" w:space="0" w:color="auto"/>
            </w:tcBorders>
            <w:shd w:val="clear" w:color="auto" w:fill="auto"/>
            <w:vAlign w:val="center"/>
          </w:tcPr>
          <w:p w:rsidR="00FE2527" w:rsidRPr="00FE2527" w:rsidRDefault="00FE2527" w:rsidP="005C1126">
            <w:pPr>
              <w:jc w:val="center"/>
              <w:rPr>
                <w:rFonts w:ascii="Garamond" w:hAnsi="Garamond"/>
                <w:bCs/>
                <w:sz w:val="22"/>
                <w:szCs w:val="22"/>
              </w:rPr>
            </w:pPr>
            <w:r w:rsidRPr="00FE2527">
              <w:rPr>
                <w:rFonts w:ascii="Garamond" w:hAnsi="Garamond"/>
                <w:bCs/>
                <w:sz w:val="22"/>
                <w:szCs w:val="22"/>
              </w:rPr>
              <w:t>No meetings were held in December</w:t>
            </w:r>
          </w:p>
        </w:tc>
      </w:tr>
      <w:tr w:rsidR="00FE2527" w:rsidRPr="00A0780C" w:rsidTr="00E308E2">
        <w:trPr>
          <w:trHeight w:val="457"/>
          <w:jc w:val="center"/>
        </w:trPr>
        <w:tc>
          <w:tcPr>
            <w:tcW w:w="2264" w:type="dxa"/>
            <w:vMerge/>
            <w:tcBorders>
              <w:top w:val="single" w:sz="8" w:space="0" w:color="auto"/>
              <w:left w:val="single" w:sz="8" w:space="0" w:color="auto"/>
              <w:bottom w:val="single" w:sz="8" w:space="0" w:color="000000"/>
              <w:right w:val="single" w:sz="8" w:space="0" w:color="000000"/>
            </w:tcBorders>
            <w:vAlign w:val="center"/>
            <w:hideMark/>
          </w:tcPr>
          <w:p w:rsidR="00FE2527" w:rsidRPr="00A0780C" w:rsidRDefault="00FE2527" w:rsidP="003A4205">
            <w:pPr>
              <w:rPr>
                <w:rFonts w:ascii="Garamond" w:hAnsi="Garamond"/>
                <w:b/>
                <w:bCs/>
                <w:color w:val="000000"/>
                <w:sz w:val="22"/>
                <w:szCs w:val="22"/>
              </w:rPr>
            </w:pPr>
          </w:p>
        </w:tc>
        <w:tc>
          <w:tcPr>
            <w:tcW w:w="523" w:type="dxa"/>
            <w:vMerge/>
            <w:tcBorders>
              <w:top w:val="single" w:sz="4" w:space="0" w:color="auto"/>
              <w:left w:val="single" w:sz="8" w:space="0" w:color="000000"/>
              <w:bottom w:val="single" w:sz="8" w:space="0" w:color="000000"/>
              <w:right w:val="single" w:sz="4" w:space="0" w:color="auto"/>
            </w:tcBorders>
            <w:vAlign w:val="center"/>
            <w:hideMark/>
          </w:tcPr>
          <w:p w:rsidR="00FE2527" w:rsidRPr="00A0780C" w:rsidRDefault="00FE2527" w:rsidP="003A4205">
            <w:pPr>
              <w:rPr>
                <w:rFonts w:ascii="Garamond" w:hAnsi="Garamond"/>
                <w:b/>
                <w:bCs/>
                <w:color w:val="000000"/>
                <w:sz w:val="22"/>
                <w:szCs w:val="22"/>
              </w:rPr>
            </w:pPr>
          </w:p>
        </w:tc>
        <w:tc>
          <w:tcPr>
            <w:tcW w:w="718" w:type="dxa"/>
            <w:tcBorders>
              <w:top w:val="single" w:sz="4" w:space="0" w:color="auto"/>
              <w:left w:val="single" w:sz="4" w:space="0" w:color="auto"/>
              <w:bottom w:val="single" w:sz="4" w:space="0" w:color="auto"/>
              <w:right w:val="single" w:sz="4" w:space="0" w:color="auto"/>
            </w:tcBorders>
            <w:shd w:val="clear" w:color="000000" w:fill="4F6228"/>
            <w:vAlign w:val="center"/>
          </w:tcPr>
          <w:p w:rsidR="00FE2527" w:rsidRPr="005C1126" w:rsidRDefault="00E308E2" w:rsidP="003A4205">
            <w:pPr>
              <w:jc w:val="center"/>
              <w:rPr>
                <w:rFonts w:ascii="Garamond" w:hAnsi="Garamond"/>
                <w:bCs/>
                <w:color w:val="FFFFFF"/>
                <w:sz w:val="22"/>
                <w:szCs w:val="22"/>
              </w:rPr>
            </w:pPr>
            <w:r>
              <w:rPr>
                <w:rFonts w:ascii="Garamond" w:hAnsi="Garamond"/>
                <w:bCs/>
                <w:color w:val="FFFFFF"/>
                <w:sz w:val="22"/>
                <w:szCs w:val="22"/>
              </w:rPr>
              <w:t>4</w:t>
            </w:r>
          </w:p>
        </w:tc>
        <w:tc>
          <w:tcPr>
            <w:tcW w:w="810" w:type="dxa"/>
            <w:tcBorders>
              <w:top w:val="single" w:sz="4" w:space="0" w:color="auto"/>
              <w:left w:val="single" w:sz="4" w:space="0" w:color="auto"/>
              <w:bottom w:val="single" w:sz="4" w:space="0" w:color="auto"/>
              <w:right w:val="single" w:sz="4" w:space="0" w:color="auto"/>
            </w:tcBorders>
            <w:shd w:val="clear" w:color="000000" w:fill="4F6228"/>
            <w:vAlign w:val="center"/>
          </w:tcPr>
          <w:p w:rsidR="00FE2527" w:rsidRPr="005C1126" w:rsidRDefault="00E308E2" w:rsidP="003A4205">
            <w:pPr>
              <w:jc w:val="center"/>
              <w:rPr>
                <w:rFonts w:ascii="Garamond" w:hAnsi="Garamond"/>
                <w:bCs/>
                <w:color w:val="FFFFFF"/>
                <w:sz w:val="22"/>
                <w:szCs w:val="22"/>
              </w:rPr>
            </w:pPr>
            <w:r>
              <w:rPr>
                <w:rFonts w:ascii="Garamond" w:hAnsi="Garamond"/>
                <w:bCs/>
                <w:color w:val="FFFFFF"/>
                <w:sz w:val="22"/>
                <w:szCs w:val="22"/>
              </w:rPr>
              <w:t>4</w:t>
            </w:r>
          </w:p>
        </w:tc>
        <w:tc>
          <w:tcPr>
            <w:tcW w:w="764" w:type="dxa"/>
            <w:tcBorders>
              <w:top w:val="single" w:sz="4" w:space="0" w:color="auto"/>
              <w:left w:val="single" w:sz="4" w:space="0" w:color="auto"/>
              <w:bottom w:val="single" w:sz="4" w:space="0" w:color="auto"/>
              <w:right w:val="single" w:sz="4" w:space="0" w:color="auto"/>
            </w:tcBorders>
            <w:shd w:val="clear" w:color="000000" w:fill="4F6228"/>
            <w:vAlign w:val="center"/>
          </w:tcPr>
          <w:p w:rsidR="00FE2527" w:rsidRPr="005C1126" w:rsidRDefault="00E308E2" w:rsidP="003A4205">
            <w:pPr>
              <w:jc w:val="center"/>
              <w:rPr>
                <w:rFonts w:ascii="Garamond" w:hAnsi="Garamond"/>
                <w:bCs/>
                <w:color w:val="FFFFFF"/>
                <w:sz w:val="22"/>
                <w:szCs w:val="22"/>
              </w:rPr>
            </w:pPr>
            <w:r>
              <w:rPr>
                <w:rFonts w:ascii="Garamond" w:hAnsi="Garamond"/>
                <w:bCs/>
                <w:color w:val="FFFFFF"/>
                <w:sz w:val="22"/>
                <w:szCs w:val="22"/>
              </w:rPr>
              <w:t>25</w:t>
            </w:r>
          </w:p>
        </w:tc>
        <w:tc>
          <w:tcPr>
            <w:tcW w:w="615" w:type="dxa"/>
            <w:gridSpan w:val="2"/>
            <w:tcBorders>
              <w:left w:val="single" w:sz="4" w:space="0" w:color="auto"/>
              <w:right w:val="single" w:sz="4" w:space="0" w:color="auto"/>
            </w:tcBorders>
            <w:shd w:val="clear" w:color="000000" w:fill="4F6228"/>
            <w:noWrap/>
            <w:vAlign w:val="center"/>
            <w:hideMark/>
          </w:tcPr>
          <w:p w:rsidR="00FE2527" w:rsidRPr="005C1126" w:rsidRDefault="00FE2527" w:rsidP="003A4205">
            <w:pPr>
              <w:jc w:val="center"/>
              <w:rPr>
                <w:rFonts w:ascii="Garamond" w:hAnsi="Garamond"/>
                <w:bCs/>
                <w:color w:val="FFFFFF"/>
                <w:sz w:val="22"/>
                <w:szCs w:val="22"/>
              </w:rPr>
            </w:pPr>
          </w:p>
        </w:tc>
        <w:tc>
          <w:tcPr>
            <w:tcW w:w="812" w:type="dxa"/>
            <w:tcBorders>
              <w:top w:val="single" w:sz="4" w:space="0" w:color="auto"/>
              <w:left w:val="single" w:sz="4" w:space="0" w:color="auto"/>
              <w:bottom w:val="single" w:sz="4" w:space="0" w:color="auto"/>
              <w:right w:val="single" w:sz="4" w:space="0" w:color="auto"/>
            </w:tcBorders>
            <w:shd w:val="clear" w:color="000000" w:fill="4F6228"/>
            <w:noWrap/>
            <w:vAlign w:val="center"/>
            <w:hideMark/>
          </w:tcPr>
          <w:p w:rsidR="00FE2527" w:rsidRPr="005C1126" w:rsidRDefault="00E308E2" w:rsidP="003A4205">
            <w:pPr>
              <w:jc w:val="center"/>
              <w:rPr>
                <w:rFonts w:ascii="Garamond" w:hAnsi="Garamond"/>
                <w:bCs/>
                <w:color w:val="FFFFFF"/>
                <w:sz w:val="22"/>
                <w:szCs w:val="22"/>
              </w:rPr>
            </w:pPr>
            <w:r>
              <w:rPr>
                <w:rFonts w:ascii="Garamond" w:hAnsi="Garamond"/>
                <w:bCs/>
                <w:color w:val="FFFFFF"/>
                <w:sz w:val="22"/>
                <w:szCs w:val="22"/>
              </w:rPr>
              <w:t>8</w:t>
            </w:r>
          </w:p>
        </w:tc>
        <w:tc>
          <w:tcPr>
            <w:tcW w:w="813" w:type="dxa"/>
            <w:tcBorders>
              <w:top w:val="single" w:sz="4" w:space="0" w:color="auto"/>
              <w:left w:val="single" w:sz="4" w:space="0" w:color="auto"/>
              <w:bottom w:val="single" w:sz="4" w:space="0" w:color="auto"/>
              <w:right w:val="single" w:sz="4" w:space="0" w:color="auto"/>
            </w:tcBorders>
            <w:shd w:val="clear" w:color="000000" w:fill="4F6228"/>
            <w:vAlign w:val="center"/>
          </w:tcPr>
          <w:p w:rsidR="00FE2527" w:rsidRPr="005C1126" w:rsidRDefault="00E308E2" w:rsidP="003A4205">
            <w:pPr>
              <w:jc w:val="center"/>
              <w:rPr>
                <w:rFonts w:ascii="Garamond" w:hAnsi="Garamond"/>
                <w:color w:val="FFFFFF" w:themeColor="background1"/>
                <w:sz w:val="22"/>
                <w:szCs w:val="22"/>
              </w:rPr>
            </w:pPr>
            <w:r>
              <w:rPr>
                <w:rFonts w:ascii="Garamond" w:hAnsi="Garamond"/>
                <w:color w:val="FFFFFF" w:themeColor="background1"/>
                <w:sz w:val="22"/>
                <w:szCs w:val="22"/>
              </w:rPr>
              <w:t>8</w:t>
            </w:r>
          </w:p>
        </w:tc>
        <w:tc>
          <w:tcPr>
            <w:tcW w:w="824" w:type="dxa"/>
            <w:gridSpan w:val="2"/>
            <w:tcBorders>
              <w:top w:val="single" w:sz="4" w:space="0" w:color="auto"/>
              <w:left w:val="single" w:sz="4" w:space="0" w:color="auto"/>
              <w:bottom w:val="single" w:sz="4" w:space="0" w:color="auto"/>
              <w:right w:val="single" w:sz="4" w:space="0" w:color="auto"/>
            </w:tcBorders>
            <w:shd w:val="clear" w:color="000000" w:fill="4F6228"/>
            <w:vAlign w:val="center"/>
          </w:tcPr>
          <w:p w:rsidR="00FE2527" w:rsidRPr="005C1126" w:rsidRDefault="00FE2527" w:rsidP="003A4205">
            <w:pPr>
              <w:jc w:val="center"/>
              <w:rPr>
                <w:rFonts w:ascii="Garamond" w:hAnsi="Garamond"/>
                <w:color w:val="FFFFFF" w:themeColor="background1"/>
                <w:sz w:val="22"/>
                <w:szCs w:val="22"/>
              </w:rPr>
            </w:pPr>
            <w:r w:rsidRPr="005C1126">
              <w:rPr>
                <w:rFonts w:ascii="Garamond" w:hAnsi="Garamond"/>
                <w:color w:val="FFFFFF" w:themeColor="background1"/>
                <w:sz w:val="22"/>
                <w:szCs w:val="22"/>
              </w:rPr>
              <w:t>2</w:t>
            </w:r>
            <w:r w:rsidR="00E308E2">
              <w:rPr>
                <w:rFonts w:ascii="Garamond" w:hAnsi="Garamond"/>
                <w:color w:val="FFFFFF" w:themeColor="background1"/>
                <w:sz w:val="22"/>
                <w:szCs w:val="22"/>
              </w:rPr>
              <w:t>9</w:t>
            </w:r>
          </w:p>
        </w:tc>
        <w:tc>
          <w:tcPr>
            <w:tcW w:w="540" w:type="dxa"/>
            <w:gridSpan w:val="2"/>
            <w:tcBorders>
              <w:left w:val="single" w:sz="4" w:space="0" w:color="auto"/>
              <w:right w:val="single" w:sz="4" w:space="0" w:color="auto"/>
            </w:tcBorders>
            <w:shd w:val="clear" w:color="000000" w:fill="4F6228"/>
            <w:noWrap/>
            <w:vAlign w:val="center"/>
            <w:hideMark/>
          </w:tcPr>
          <w:p w:rsidR="00FE2527" w:rsidRPr="005C1126" w:rsidRDefault="00FE2527" w:rsidP="003A4205">
            <w:pPr>
              <w:jc w:val="center"/>
              <w:rPr>
                <w:rFonts w:ascii="Garamond" w:hAnsi="Garamond"/>
                <w:color w:val="000000"/>
                <w:sz w:val="22"/>
                <w:szCs w:val="22"/>
              </w:rPr>
            </w:pPr>
          </w:p>
        </w:tc>
        <w:tc>
          <w:tcPr>
            <w:tcW w:w="1123" w:type="dxa"/>
            <w:vMerge/>
            <w:tcBorders>
              <w:left w:val="single" w:sz="4" w:space="0" w:color="auto"/>
              <w:right w:val="single" w:sz="4" w:space="0" w:color="auto"/>
            </w:tcBorders>
            <w:shd w:val="clear" w:color="auto" w:fill="auto"/>
            <w:vAlign w:val="center"/>
          </w:tcPr>
          <w:p w:rsidR="00FE2527" w:rsidRPr="005C1126" w:rsidRDefault="00FE2527" w:rsidP="003A4205">
            <w:pPr>
              <w:jc w:val="center"/>
              <w:rPr>
                <w:rFonts w:ascii="Garamond" w:hAnsi="Garamond"/>
                <w:bCs/>
                <w:color w:val="FFFFFF"/>
                <w:sz w:val="22"/>
                <w:szCs w:val="22"/>
              </w:rPr>
            </w:pPr>
          </w:p>
        </w:tc>
      </w:tr>
      <w:tr w:rsidR="00FE2527" w:rsidRPr="00A0780C" w:rsidTr="00E308E2">
        <w:trPr>
          <w:trHeight w:val="394"/>
          <w:jc w:val="center"/>
        </w:trPr>
        <w:tc>
          <w:tcPr>
            <w:tcW w:w="2264" w:type="dxa"/>
            <w:tcBorders>
              <w:top w:val="single" w:sz="8" w:space="0" w:color="000000"/>
              <w:left w:val="single" w:sz="8" w:space="0" w:color="auto"/>
              <w:bottom w:val="single" w:sz="8" w:space="0" w:color="auto"/>
              <w:right w:val="single" w:sz="8" w:space="0" w:color="000000"/>
            </w:tcBorders>
            <w:shd w:val="clear" w:color="000000" w:fill="4F6228"/>
            <w:noWrap/>
            <w:vAlign w:val="center"/>
            <w:hideMark/>
          </w:tcPr>
          <w:p w:rsidR="00FE2527" w:rsidRPr="00A0780C" w:rsidRDefault="00FE2527" w:rsidP="003A4205">
            <w:pPr>
              <w:rPr>
                <w:rFonts w:ascii="Garamond" w:hAnsi="Garamond"/>
                <w:b/>
                <w:bCs/>
                <w:color w:val="FFFFFF"/>
                <w:sz w:val="22"/>
                <w:szCs w:val="22"/>
              </w:rPr>
            </w:pPr>
            <w:r w:rsidRPr="00A0780C">
              <w:rPr>
                <w:rFonts w:ascii="Garamond" w:hAnsi="Garamond"/>
                <w:b/>
                <w:bCs/>
                <w:color w:val="FFFFFF"/>
                <w:sz w:val="22"/>
                <w:szCs w:val="22"/>
              </w:rPr>
              <w:t>Chris Page, Facilitator</w:t>
            </w:r>
          </w:p>
        </w:tc>
        <w:tc>
          <w:tcPr>
            <w:tcW w:w="523" w:type="dxa"/>
            <w:vMerge/>
            <w:tcBorders>
              <w:top w:val="nil"/>
              <w:left w:val="single" w:sz="8" w:space="0" w:color="000000"/>
              <w:bottom w:val="single" w:sz="8" w:space="0" w:color="000000"/>
              <w:right w:val="single" w:sz="4" w:space="0" w:color="auto"/>
            </w:tcBorders>
            <w:vAlign w:val="center"/>
            <w:hideMark/>
          </w:tcPr>
          <w:p w:rsidR="00FE2527" w:rsidRPr="00A0780C" w:rsidRDefault="00FE2527" w:rsidP="003A4205">
            <w:pPr>
              <w:rPr>
                <w:rFonts w:ascii="Garamond" w:hAnsi="Garamond"/>
                <w:b/>
                <w:bCs/>
                <w:color w:val="000000"/>
                <w:sz w:val="22"/>
                <w:szCs w:val="22"/>
              </w:rPr>
            </w:pPr>
          </w:p>
        </w:tc>
        <w:tc>
          <w:tcPr>
            <w:tcW w:w="718" w:type="dxa"/>
            <w:tcBorders>
              <w:top w:val="single" w:sz="4" w:space="0" w:color="auto"/>
              <w:left w:val="single" w:sz="4" w:space="0" w:color="auto"/>
              <w:bottom w:val="single" w:sz="4" w:space="0" w:color="auto"/>
              <w:right w:val="single" w:sz="4" w:space="0" w:color="auto"/>
            </w:tcBorders>
            <w:vAlign w:val="center"/>
          </w:tcPr>
          <w:p w:rsidR="00FE2527" w:rsidRPr="00A0780C" w:rsidRDefault="00E308E2" w:rsidP="003A4205">
            <w:pPr>
              <w:jc w:val="center"/>
              <w:rPr>
                <w:rFonts w:ascii="Garamond" w:hAnsi="Garamond"/>
                <w:color w:val="000000"/>
                <w:sz w:val="22"/>
                <w:szCs w:val="22"/>
              </w:rPr>
            </w:pPr>
            <w:r>
              <w:rPr>
                <w:rFonts w:ascii="Garamond" w:hAnsi="Garamond"/>
                <w:color w:val="000000"/>
                <w:sz w:val="22"/>
                <w:szCs w:val="22"/>
              </w:rPr>
              <w:t>1</w:t>
            </w:r>
          </w:p>
        </w:tc>
        <w:tc>
          <w:tcPr>
            <w:tcW w:w="810" w:type="dxa"/>
            <w:tcBorders>
              <w:top w:val="single" w:sz="4" w:space="0" w:color="auto"/>
              <w:left w:val="single" w:sz="4" w:space="0" w:color="auto"/>
              <w:bottom w:val="single" w:sz="4" w:space="0" w:color="auto"/>
              <w:right w:val="single" w:sz="4" w:space="0" w:color="auto"/>
            </w:tcBorders>
            <w:vAlign w:val="center"/>
          </w:tcPr>
          <w:p w:rsidR="00FE2527" w:rsidRPr="00A0780C" w:rsidRDefault="00FE2527" w:rsidP="003A4205">
            <w:pPr>
              <w:jc w:val="center"/>
              <w:rPr>
                <w:rFonts w:ascii="Garamond" w:hAnsi="Garamond"/>
                <w:color w:val="000000"/>
                <w:sz w:val="22"/>
                <w:szCs w:val="22"/>
              </w:rPr>
            </w:pPr>
          </w:p>
        </w:tc>
        <w:tc>
          <w:tcPr>
            <w:tcW w:w="764" w:type="dxa"/>
            <w:tcBorders>
              <w:top w:val="single" w:sz="4" w:space="0" w:color="auto"/>
              <w:left w:val="single" w:sz="4" w:space="0" w:color="auto"/>
              <w:bottom w:val="single" w:sz="4" w:space="0" w:color="auto"/>
              <w:right w:val="single" w:sz="4" w:space="0" w:color="auto"/>
            </w:tcBorders>
            <w:vAlign w:val="center"/>
          </w:tcPr>
          <w:p w:rsidR="00FE2527" w:rsidRPr="00A0780C" w:rsidRDefault="00E308E2" w:rsidP="003A4205">
            <w:pPr>
              <w:jc w:val="center"/>
              <w:rPr>
                <w:rFonts w:ascii="Garamond" w:hAnsi="Garamond"/>
                <w:color w:val="000000"/>
                <w:sz w:val="22"/>
                <w:szCs w:val="22"/>
              </w:rPr>
            </w:pPr>
            <w:r>
              <w:rPr>
                <w:rFonts w:ascii="Garamond" w:hAnsi="Garamond"/>
                <w:color w:val="000000"/>
                <w:sz w:val="22"/>
                <w:szCs w:val="22"/>
              </w:rPr>
              <w:t>1</w:t>
            </w:r>
          </w:p>
        </w:tc>
        <w:tc>
          <w:tcPr>
            <w:tcW w:w="615" w:type="dxa"/>
            <w:gridSpan w:val="2"/>
            <w:tcBorders>
              <w:left w:val="single" w:sz="4" w:space="0" w:color="auto"/>
              <w:right w:val="single" w:sz="4" w:space="0" w:color="auto"/>
            </w:tcBorders>
            <w:shd w:val="clear" w:color="000000" w:fill="C2D69A"/>
            <w:noWrap/>
            <w:vAlign w:val="center"/>
            <w:hideMark/>
          </w:tcPr>
          <w:p w:rsidR="00FE2527" w:rsidRPr="00A0780C" w:rsidRDefault="00FE2527" w:rsidP="003A4205">
            <w:pPr>
              <w:jc w:val="center"/>
              <w:rPr>
                <w:rFonts w:ascii="Garamond" w:hAnsi="Garamond"/>
                <w:color w:val="000000"/>
                <w:sz w:val="22"/>
                <w:szCs w:val="22"/>
              </w:rPr>
            </w:pP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527" w:rsidRPr="00A0780C" w:rsidRDefault="00FE2527" w:rsidP="003A4205">
            <w:pPr>
              <w:jc w:val="center"/>
              <w:rPr>
                <w:rFonts w:ascii="Garamond" w:hAnsi="Garamond"/>
                <w:color w:val="000000"/>
                <w:sz w:val="22"/>
                <w:szCs w:val="22"/>
              </w:rPr>
            </w:pPr>
            <w:r w:rsidRPr="00A0780C">
              <w:rPr>
                <w:rFonts w:ascii="Garamond" w:hAnsi="Garamond"/>
                <w:color w:val="000000"/>
                <w:sz w:val="22"/>
                <w:szCs w:val="22"/>
              </w:rPr>
              <w:t>1</w:t>
            </w:r>
          </w:p>
        </w:tc>
        <w:tc>
          <w:tcPr>
            <w:tcW w:w="813" w:type="dxa"/>
            <w:tcBorders>
              <w:top w:val="single" w:sz="4" w:space="0" w:color="auto"/>
              <w:left w:val="single" w:sz="4" w:space="0" w:color="auto"/>
              <w:bottom w:val="single" w:sz="4" w:space="0" w:color="auto"/>
              <w:right w:val="single" w:sz="4" w:space="0" w:color="auto"/>
            </w:tcBorders>
            <w:vAlign w:val="center"/>
          </w:tcPr>
          <w:p w:rsidR="00FE2527" w:rsidRPr="00A0780C" w:rsidRDefault="00FE2527" w:rsidP="003A4205">
            <w:pPr>
              <w:jc w:val="center"/>
              <w:rPr>
                <w:rFonts w:ascii="Garamond" w:hAnsi="Garamond"/>
                <w:color w:val="000000"/>
                <w:sz w:val="22"/>
                <w:szCs w:val="22"/>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FE2527" w:rsidRPr="00A0780C" w:rsidRDefault="00FE2527" w:rsidP="003A4205">
            <w:pPr>
              <w:jc w:val="center"/>
              <w:rPr>
                <w:rFonts w:ascii="Garamond" w:hAnsi="Garamond"/>
                <w:color w:val="000000"/>
                <w:sz w:val="22"/>
                <w:szCs w:val="22"/>
              </w:rPr>
            </w:pPr>
            <w:r w:rsidRPr="00A0780C">
              <w:rPr>
                <w:rFonts w:ascii="Garamond" w:hAnsi="Garamond"/>
                <w:color w:val="000000"/>
                <w:sz w:val="22"/>
                <w:szCs w:val="22"/>
              </w:rPr>
              <w:t>1</w:t>
            </w:r>
          </w:p>
        </w:tc>
        <w:tc>
          <w:tcPr>
            <w:tcW w:w="540" w:type="dxa"/>
            <w:gridSpan w:val="2"/>
            <w:tcBorders>
              <w:left w:val="single" w:sz="4" w:space="0" w:color="auto"/>
              <w:right w:val="single" w:sz="4" w:space="0" w:color="auto"/>
            </w:tcBorders>
            <w:shd w:val="clear" w:color="000000" w:fill="C2D69A"/>
            <w:noWrap/>
            <w:vAlign w:val="center"/>
            <w:hideMark/>
          </w:tcPr>
          <w:p w:rsidR="00FE2527" w:rsidRPr="00A0780C" w:rsidRDefault="00FE2527" w:rsidP="003A4205">
            <w:pPr>
              <w:jc w:val="center"/>
              <w:rPr>
                <w:rFonts w:ascii="Garamond" w:hAnsi="Garamond"/>
                <w:color w:val="000000"/>
                <w:sz w:val="22"/>
                <w:szCs w:val="22"/>
              </w:rPr>
            </w:pPr>
          </w:p>
        </w:tc>
        <w:tc>
          <w:tcPr>
            <w:tcW w:w="1123" w:type="dxa"/>
            <w:vMerge/>
            <w:tcBorders>
              <w:left w:val="single" w:sz="4" w:space="0" w:color="auto"/>
              <w:right w:val="single" w:sz="4" w:space="0" w:color="auto"/>
            </w:tcBorders>
            <w:shd w:val="clear" w:color="auto" w:fill="auto"/>
            <w:vAlign w:val="center"/>
          </w:tcPr>
          <w:p w:rsidR="00FE2527" w:rsidRPr="00A0780C" w:rsidRDefault="00FE2527" w:rsidP="003A4205">
            <w:pPr>
              <w:jc w:val="center"/>
              <w:rPr>
                <w:rFonts w:ascii="Garamond" w:hAnsi="Garamond"/>
                <w:color w:val="000000"/>
                <w:sz w:val="22"/>
                <w:szCs w:val="22"/>
              </w:rPr>
            </w:pPr>
          </w:p>
        </w:tc>
      </w:tr>
      <w:tr w:rsidR="00FE2527" w:rsidRPr="00A0780C" w:rsidTr="00E308E2">
        <w:trPr>
          <w:trHeight w:val="241"/>
          <w:jc w:val="center"/>
        </w:trPr>
        <w:tc>
          <w:tcPr>
            <w:tcW w:w="2264" w:type="dxa"/>
            <w:tcBorders>
              <w:top w:val="single" w:sz="8" w:space="0" w:color="auto"/>
              <w:left w:val="single" w:sz="8" w:space="0" w:color="auto"/>
              <w:bottom w:val="single" w:sz="8" w:space="0" w:color="auto"/>
              <w:right w:val="single" w:sz="8" w:space="0" w:color="000000"/>
            </w:tcBorders>
            <w:shd w:val="clear" w:color="000000" w:fill="4F6228"/>
            <w:noWrap/>
            <w:vAlign w:val="center"/>
            <w:hideMark/>
          </w:tcPr>
          <w:p w:rsidR="00FE2527" w:rsidRPr="00A0780C" w:rsidRDefault="00FE2527" w:rsidP="003A4205">
            <w:pPr>
              <w:rPr>
                <w:rFonts w:ascii="Garamond" w:hAnsi="Garamond"/>
                <w:b/>
                <w:bCs/>
                <w:color w:val="FFFFFF"/>
                <w:sz w:val="22"/>
                <w:szCs w:val="22"/>
              </w:rPr>
            </w:pPr>
            <w:r w:rsidRPr="00A0780C">
              <w:rPr>
                <w:rFonts w:ascii="Garamond" w:hAnsi="Garamond"/>
                <w:b/>
                <w:bCs/>
                <w:color w:val="FFFFFF"/>
                <w:sz w:val="22"/>
                <w:szCs w:val="22"/>
              </w:rPr>
              <w:t>Kara Whitman, Coordinator</w:t>
            </w:r>
          </w:p>
        </w:tc>
        <w:tc>
          <w:tcPr>
            <w:tcW w:w="523" w:type="dxa"/>
            <w:vMerge/>
            <w:tcBorders>
              <w:top w:val="nil"/>
              <w:left w:val="single" w:sz="8" w:space="0" w:color="000000"/>
              <w:bottom w:val="single" w:sz="8" w:space="0" w:color="000000"/>
              <w:right w:val="single" w:sz="4" w:space="0" w:color="auto"/>
            </w:tcBorders>
            <w:vAlign w:val="center"/>
            <w:hideMark/>
          </w:tcPr>
          <w:p w:rsidR="00FE2527" w:rsidRPr="00A0780C" w:rsidRDefault="00FE2527" w:rsidP="003A4205">
            <w:pPr>
              <w:rPr>
                <w:rFonts w:ascii="Garamond" w:hAnsi="Garamond"/>
                <w:b/>
                <w:bCs/>
                <w:color w:val="000000"/>
                <w:sz w:val="22"/>
                <w:szCs w:val="22"/>
              </w:rPr>
            </w:pPr>
          </w:p>
        </w:tc>
        <w:tc>
          <w:tcPr>
            <w:tcW w:w="718" w:type="dxa"/>
            <w:tcBorders>
              <w:top w:val="single" w:sz="4" w:space="0" w:color="auto"/>
              <w:left w:val="single" w:sz="4" w:space="0" w:color="auto"/>
              <w:bottom w:val="single" w:sz="4" w:space="0" w:color="auto"/>
              <w:right w:val="single" w:sz="4" w:space="0" w:color="auto"/>
            </w:tcBorders>
            <w:vAlign w:val="center"/>
          </w:tcPr>
          <w:p w:rsidR="00FE2527" w:rsidRPr="00A0780C" w:rsidRDefault="00FE2527" w:rsidP="003A4205">
            <w:pPr>
              <w:jc w:val="center"/>
              <w:rPr>
                <w:rFonts w:ascii="Garamond" w:hAnsi="Garamond"/>
                <w:color w:val="000000"/>
                <w:sz w:val="22"/>
                <w:szCs w:val="22"/>
              </w:rPr>
            </w:pPr>
            <w:r w:rsidRPr="00A0780C">
              <w:rPr>
                <w:rFonts w:ascii="Garamond" w:hAnsi="Garamond"/>
                <w:color w:val="000000"/>
                <w:sz w:val="22"/>
                <w:szCs w:val="22"/>
              </w:rPr>
              <w:t>1</w:t>
            </w:r>
          </w:p>
        </w:tc>
        <w:tc>
          <w:tcPr>
            <w:tcW w:w="810" w:type="dxa"/>
            <w:tcBorders>
              <w:top w:val="single" w:sz="4" w:space="0" w:color="auto"/>
              <w:left w:val="single" w:sz="4" w:space="0" w:color="auto"/>
              <w:bottom w:val="single" w:sz="4" w:space="0" w:color="auto"/>
              <w:right w:val="single" w:sz="4" w:space="0" w:color="auto"/>
            </w:tcBorders>
            <w:vAlign w:val="center"/>
          </w:tcPr>
          <w:p w:rsidR="00FE2527" w:rsidRPr="00A0780C" w:rsidRDefault="00E308E2" w:rsidP="003A4205">
            <w:pPr>
              <w:jc w:val="center"/>
              <w:rPr>
                <w:rFonts w:ascii="Garamond" w:hAnsi="Garamond"/>
                <w:color w:val="000000"/>
                <w:sz w:val="22"/>
                <w:szCs w:val="22"/>
              </w:rPr>
            </w:pPr>
            <w:r>
              <w:rPr>
                <w:rFonts w:ascii="Garamond" w:hAnsi="Garamond"/>
                <w:color w:val="000000"/>
                <w:sz w:val="22"/>
                <w:szCs w:val="22"/>
              </w:rPr>
              <w:t>1</w:t>
            </w:r>
          </w:p>
        </w:tc>
        <w:tc>
          <w:tcPr>
            <w:tcW w:w="764" w:type="dxa"/>
            <w:tcBorders>
              <w:top w:val="single" w:sz="4" w:space="0" w:color="auto"/>
              <w:left w:val="single" w:sz="4" w:space="0" w:color="auto"/>
              <w:bottom w:val="single" w:sz="4" w:space="0" w:color="auto"/>
              <w:right w:val="single" w:sz="4" w:space="0" w:color="auto"/>
            </w:tcBorders>
            <w:vAlign w:val="center"/>
          </w:tcPr>
          <w:p w:rsidR="00FE2527" w:rsidRPr="00A0780C" w:rsidRDefault="00FE2527" w:rsidP="003A4205">
            <w:pPr>
              <w:jc w:val="center"/>
              <w:rPr>
                <w:rFonts w:ascii="Garamond" w:hAnsi="Garamond"/>
                <w:color w:val="000000"/>
                <w:sz w:val="22"/>
                <w:szCs w:val="22"/>
              </w:rPr>
            </w:pPr>
            <w:r w:rsidRPr="00A0780C">
              <w:rPr>
                <w:rFonts w:ascii="Garamond" w:hAnsi="Garamond"/>
                <w:color w:val="000000"/>
                <w:sz w:val="22"/>
                <w:szCs w:val="22"/>
              </w:rPr>
              <w:t>1</w:t>
            </w:r>
          </w:p>
        </w:tc>
        <w:tc>
          <w:tcPr>
            <w:tcW w:w="615" w:type="dxa"/>
            <w:gridSpan w:val="2"/>
            <w:tcBorders>
              <w:left w:val="single" w:sz="4" w:space="0" w:color="auto"/>
              <w:bottom w:val="single" w:sz="4" w:space="0" w:color="auto"/>
              <w:right w:val="single" w:sz="4" w:space="0" w:color="auto"/>
            </w:tcBorders>
            <w:shd w:val="clear" w:color="000000" w:fill="C2D69A"/>
            <w:noWrap/>
            <w:vAlign w:val="center"/>
            <w:hideMark/>
          </w:tcPr>
          <w:p w:rsidR="00FE2527" w:rsidRPr="00A0780C" w:rsidRDefault="00FE2527" w:rsidP="003A4205">
            <w:pPr>
              <w:jc w:val="center"/>
              <w:rPr>
                <w:rFonts w:ascii="Garamond" w:hAnsi="Garamond"/>
                <w:color w:val="000000"/>
                <w:sz w:val="22"/>
                <w:szCs w:val="22"/>
              </w:rPr>
            </w:pP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527" w:rsidRPr="00A0780C" w:rsidRDefault="00FE2527" w:rsidP="003A4205">
            <w:pPr>
              <w:jc w:val="center"/>
              <w:rPr>
                <w:rFonts w:ascii="Garamond" w:hAnsi="Garamond"/>
                <w:color w:val="000000"/>
                <w:sz w:val="22"/>
                <w:szCs w:val="22"/>
              </w:rPr>
            </w:pPr>
            <w:r w:rsidRPr="00A0780C">
              <w:rPr>
                <w:rFonts w:ascii="Garamond" w:hAnsi="Garamond"/>
                <w:color w:val="000000"/>
                <w:sz w:val="22"/>
                <w:szCs w:val="22"/>
              </w:rPr>
              <w:t>1</w:t>
            </w:r>
          </w:p>
        </w:tc>
        <w:tc>
          <w:tcPr>
            <w:tcW w:w="813" w:type="dxa"/>
            <w:tcBorders>
              <w:top w:val="single" w:sz="4" w:space="0" w:color="auto"/>
              <w:left w:val="single" w:sz="4" w:space="0" w:color="auto"/>
              <w:bottom w:val="single" w:sz="4" w:space="0" w:color="auto"/>
              <w:right w:val="single" w:sz="4" w:space="0" w:color="auto"/>
            </w:tcBorders>
            <w:vAlign w:val="center"/>
          </w:tcPr>
          <w:p w:rsidR="00FE2527" w:rsidRPr="00A0780C" w:rsidRDefault="00FE2527" w:rsidP="00E308E2">
            <w:pPr>
              <w:rPr>
                <w:rFonts w:ascii="Garamond" w:hAnsi="Garamond"/>
                <w:color w:val="000000"/>
                <w:sz w:val="22"/>
                <w:szCs w:val="22"/>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FE2527" w:rsidRPr="00A0780C" w:rsidRDefault="00FE2527" w:rsidP="003A4205">
            <w:pPr>
              <w:jc w:val="center"/>
              <w:rPr>
                <w:rFonts w:ascii="Garamond" w:hAnsi="Garamond"/>
                <w:color w:val="000000"/>
                <w:sz w:val="22"/>
                <w:szCs w:val="22"/>
              </w:rPr>
            </w:pPr>
            <w:r w:rsidRPr="00A0780C">
              <w:rPr>
                <w:rFonts w:ascii="Garamond" w:hAnsi="Garamond"/>
                <w:color w:val="000000"/>
                <w:sz w:val="22"/>
                <w:szCs w:val="22"/>
              </w:rPr>
              <w:t>1</w:t>
            </w:r>
          </w:p>
        </w:tc>
        <w:tc>
          <w:tcPr>
            <w:tcW w:w="540" w:type="dxa"/>
            <w:gridSpan w:val="2"/>
            <w:tcBorders>
              <w:left w:val="single" w:sz="4" w:space="0" w:color="auto"/>
              <w:bottom w:val="single" w:sz="4" w:space="0" w:color="auto"/>
              <w:right w:val="single" w:sz="4" w:space="0" w:color="auto"/>
            </w:tcBorders>
            <w:shd w:val="clear" w:color="000000" w:fill="C2D69A"/>
            <w:noWrap/>
            <w:vAlign w:val="center"/>
            <w:hideMark/>
          </w:tcPr>
          <w:p w:rsidR="00FE2527" w:rsidRPr="00A0780C" w:rsidRDefault="00FE2527" w:rsidP="003A4205">
            <w:pPr>
              <w:jc w:val="center"/>
              <w:rPr>
                <w:rFonts w:ascii="Garamond" w:hAnsi="Garamond"/>
                <w:color w:val="000000"/>
                <w:sz w:val="22"/>
                <w:szCs w:val="22"/>
              </w:rPr>
            </w:pPr>
          </w:p>
        </w:tc>
        <w:tc>
          <w:tcPr>
            <w:tcW w:w="1123" w:type="dxa"/>
            <w:vMerge/>
            <w:tcBorders>
              <w:left w:val="single" w:sz="4" w:space="0" w:color="auto"/>
              <w:bottom w:val="single" w:sz="4" w:space="0" w:color="auto"/>
              <w:right w:val="single" w:sz="4" w:space="0" w:color="auto"/>
            </w:tcBorders>
            <w:shd w:val="clear" w:color="auto" w:fill="auto"/>
            <w:vAlign w:val="center"/>
          </w:tcPr>
          <w:p w:rsidR="00FE2527" w:rsidRPr="00A0780C" w:rsidRDefault="00FE2527" w:rsidP="003A4205">
            <w:pPr>
              <w:jc w:val="center"/>
              <w:rPr>
                <w:rFonts w:ascii="Garamond" w:hAnsi="Garamond"/>
                <w:color w:val="000000"/>
                <w:sz w:val="22"/>
                <w:szCs w:val="22"/>
              </w:rPr>
            </w:pPr>
          </w:p>
        </w:tc>
      </w:tr>
    </w:tbl>
    <w:p w:rsidR="00156765" w:rsidRPr="00A0780C" w:rsidRDefault="00E25C7C" w:rsidP="00E25C7C">
      <w:pPr>
        <w:rPr>
          <w:rFonts w:ascii="Garamond" w:hAnsi="Garamond"/>
          <w:i/>
          <w:sz w:val="22"/>
          <w:szCs w:val="22"/>
        </w:rPr>
      </w:pPr>
      <w:r w:rsidRPr="00A0780C">
        <w:rPr>
          <w:rFonts w:ascii="Garamond" w:hAnsi="Garamond"/>
          <w:i/>
          <w:sz w:val="22"/>
          <w:szCs w:val="22"/>
        </w:rPr>
        <w:t>TT: Technical Track Work Group</w:t>
      </w:r>
    </w:p>
    <w:p w:rsidR="00E25C7C" w:rsidRPr="00A0780C" w:rsidRDefault="00E25C7C" w:rsidP="00E25C7C">
      <w:pPr>
        <w:rPr>
          <w:rFonts w:ascii="Garamond" w:hAnsi="Garamond"/>
          <w:i/>
          <w:sz w:val="22"/>
          <w:szCs w:val="22"/>
        </w:rPr>
      </w:pPr>
      <w:r w:rsidRPr="00A0780C">
        <w:rPr>
          <w:rFonts w:ascii="Garamond" w:hAnsi="Garamond"/>
          <w:i/>
          <w:sz w:val="22"/>
          <w:szCs w:val="22"/>
        </w:rPr>
        <w:t>TF: Task Force</w:t>
      </w:r>
    </w:p>
    <w:p w:rsidR="00C36B9A" w:rsidRPr="00A0780C" w:rsidRDefault="00C36B9A" w:rsidP="00E25C7C">
      <w:pPr>
        <w:rPr>
          <w:rFonts w:ascii="Garamond" w:hAnsi="Garamond"/>
          <w:i/>
          <w:sz w:val="22"/>
          <w:szCs w:val="22"/>
        </w:rPr>
      </w:pPr>
      <w:r w:rsidRPr="00A0780C">
        <w:rPr>
          <w:rFonts w:ascii="Garamond" w:hAnsi="Garamond"/>
          <w:i/>
          <w:sz w:val="22"/>
          <w:szCs w:val="22"/>
        </w:rPr>
        <w:t>EO: Education and Outreach Work Group</w:t>
      </w:r>
    </w:p>
    <w:p w:rsidR="00FE0CB8" w:rsidRPr="00A0780C" w:rsidRDefault="00FE0CB8" w:rsidP="0084264E">
      <w:pPr>
        <w:rPr>
          <w:rFonts w:ascii="Garamond" w:hAnsi="Garamond"/>
          <w:b/>
          <w:bCs/>
          <w:sz w:val="22"/>
          <w:szCs w:val="22"/>
        </w:rPr>
      </w:pPr>
      <w:bookmarkStart w:id="0" w:name="RANGE!A11:Z16"/>
      <w:bookmarkStart w:id="1" w:name="RANGE!A11:AD15"/>
      <w:bookmarkEnd w:id="0"/>
      <w:bookmarkEnd w:id="1"/>
    </w:p>
    <w:p w:rsidR="00085CE1" w:rsidRPr="00A0780C" w:rsidRDefault="00F820E4" w:rsidP="0084264E">
      <w:pPr>
        <w:tabs>
          <w:tab w:val="left" w:pos="5364"/>
        </w:tabs>
        <w:rPr>
          <w:rFonts w:ascii="Garamond" w:hAnsi="Garamond"/>
          <w:b/>
          <w:sz w:val="22"/>
          <w:szCs w:val="22"/>
        </w:rPr>
      </w:pPr>
      <w:bookmarkStart w:id="2" w:name="OLE_LINK2"/>
      <w:r w:rsidRPr="00A0780C">
        <w:rPr>
          <w:rFonts w:ascii="Garamond" w:hAnsi="Garamond"/>
          <w:b/>
          <w:sz w:val="22"/>
          <w:szCs w:val="22"/>
        </w:rPr>
        <w:t>Project highlights</w:t>
      </w:r>
      <w:r w:rsidR="007D7EDE" w:rsidRPr="00A0780C">
        <w:rPr>
          <w:rFonts w:ascii="Garamond" w:hAnsi="Garamond"/>
          <w:b/>
          <w:sz w:val="22"/>
          <w:szCs w:val="22"/>
        </w:rPr>
        <w:t>:</w:t>
      </w:r>
      <w:r w:rsidR="009A4226" w:rsidRPr="00A0780C">
        <w:rPr>
          <w:rFonts w:ascii="Garamond" w:hAnsi="Garamond"/>
          <w:b/>
          <w:sz w:val="22"/>
          <w:szCs w:val="22"/>
        </w:rPr>
        <w:tab/>
      </w:r>
    </w:p>
    <w:bookmarkEnd w:id="2"/>
    <w:p w:rsidR="00495B4F" w:rsidRPr="00A0780C" w:rsidRDefault="00D70646" w:rsidP="0084264E">
      <w:pPr>
        <w:numPr>
          <w:ilvl w:val="0"/>
          <w:numId w:val="13"/>
        </w:numPr>
        <w:rPr>
          <w:rFonts w:ascii="Garamond" w:hAnsi="Garamond"/>
          <w:b/>
          <w:sz w:val="22"/>
          <w:szCs w:val="22"/>
        </w:rPr>
      </w:pPr>
      <w:r w:rsidRPr="00A0780C">
        <w:rPr>
          <w:rFonts w:ascii="Garamond" w:hAnsi="Garamond"/>
          <w:b/>
          <w:sz w:val="22"/>
          <w:szCs w:val="22"/>
        </w:rPr>
        <w:t xml:space="preserve">Meetings: </w:t>
      </w:r>
      <w:r w:rsidR="00CA7C26" w:rsidRPr="00A0780C">
        <w:rPr>
          <w:rFonts w:ascii="Garamond" w:hAnsi="Garamond"/>
          <w:sz w:val="22"/>
          <w:szCs w:val="22"/>
        </w:rPr>
        <w:t>F</w:t>
      </w:r>
      <w:r w:rsidR="00500115" w:rsidRPr="00A0780C">
        <w:rPr>
          <w:rFonts w:ascii="Garamond" w:hAnsi="Garamond"/>
          <w:sz w:val="22"/>
          <w:szCs w:val="22"/>
        </w:rPr>
        <w:t>acilitator Chris Page</w:t>
      </w:r>
      <w:r w:rsidR="00255BC5" w:rsidRPr="00A0780C">
        <w:rPr>
          <w:rFonts w:ascii="Garamond" w:hAnsi="Garamond"/>
          <w:sz w:val="22"/>
          <w:szCs w:val="22"/>
        </w:rPr>
        <w:t xml:space="preserve"> </w:t>
      </w:r>
      <w:r w:rsidR="006A71BB" w:rsidRPr="00A0780C">
        <w:rPr>
          <w:rFonts w:ascii="Garamond" w:hAnsi="Garamond"/>
          <w:sz w:val="22"/>
          <w:szCs w:val="22"/>
        </w:rPr>
        <w:t>develop</w:t>
      </w:r>
      <w:r w:rsidR="00983D52" w:rsidRPr="00A0780C">
        <w:rPr>
          <w:rFonts w:ascii="Garamond" w:hAnsi="Garamond"/>
          <w:sz w:val="22"/>
          <w:szCs w:val="22"/>
        </w:rPr>
        <w:t xml:space="preserve">ed meeting agendas </w:t>
      </w:r>
      <w:r w:rsidR="00656103" w:rsidRPr="00A0780C">
        <w:rPr>
          <w:rFonts w:ascii="Garamond" w:hAnsi="Garamond"/>
          <w:sz w:val="22"/>
          <w:szCs w:val="22"/>
        </w:rPr>
        <w:t>for</w:t>
      </w:r>
      <w:r w:rsidR="00132DA6" w:rsidRPr="00A0780C">
        <w:rPr>
          <w:rFonts w:ascii="Garamond" w:hAnsi="Garamond"/>
          <w:sz w:val="22"/>
          <w:szCs w:val="22"/>
        </w:rPr>
        <w:t xml:space="preserve"> </w:t>
      </w:r>
      <w:r w:rsidR="00E308E2">
        <w:rPr>
          <w:rFonts w:ascii="Garamond" w:hAnsi="Garamond"/>
          <w:sz w:val="22"/>
          <w:szCs w:val="22"/>
        </w:rPr>
        <w:t>four</w:t>
      </w:r>
      <w:r w:rsidR="00AD27F5" w:rsidRPr="00A0780C">
        <w:rPr>
          <w:rFonts w:ascii="Garamond" w:hAnsi="Garamond"/>
          <w:sz w:val="22"/>
          <w:szCs w:val="22"/>
        </w:rPr>
        <w:t xml:space="preserve"> </w:t>
      </w:r>
      <w:r w:rsidR="00500115" w:rsidRPr="00A0780C">
        <w:rPr>
          <w:rFonts w:ascii="Garamond" w:hAnsi="Garamond"/>
          <w:sz w:val="22"/>
          <w:szCs w:val="22"/>
        </w:rPr>
        <w:t>meetings</w:t>
      </w:r>
      <w:r w:rsidR="00AD27F5" w:rsidRPr="00A0780C">
        <w:rPr>
          <w:rFonts w:ascii="Garamond" w:hAnsi="Garamond"/>
          <w:sz w:val="22"/>
          <w:szCs w:val="22"/>
        </w:rPr>
        <w:t xml:space="preserve"> </w:t>
      </w:r>
      <w:r w:rsidR="004A02F1" w:rsidRPr="00A0780C">
        <w:rPr>
          <w:rFonts w:ascii="Garamond" w:hAnsi="Garamond"/>
          <w:sz w:val="22"/>
          <w:szCs w:val="22"/>
        </w:rPr>
        <w:t xml:space="preserve">including </w:t>
      </w:r>
      <w:r w:rsidR="00937856">
        <w:rPr>
          <w:rFonts w:ascii="Garamond" w:hAnsi="Garamond"/>
          <w:sz w:val="22"/>
          <w:szCs w:val="22"/>
        </w:rPr>
        <w:t>t</w:t>
      </w:r>
      <w:r w:rsidR="00E308E2">
        <w:rPr>
          <w:rFonts w:ascii="Garamond" w:hAnsi="Garamond"/>
          <w:sz w:val="22"/>
          <w:szCs w:val="22"/>
        </w:rPr>
        <w:t>wo</w:t>
      </w:r>
      <w:r w:rsidR="00AA4CA3" w:rsidRPr="00A0780C">
        <w:rPr>
          <w:rFonts w:ascii="Garamond" w:hAnsi="Garamond"/>
          <w:sz w:val="22"/>
          <w:szCs w:val="22"/>
        </w:rPr>
        <w:t xml:space="preserve"> </w:t>
      </w:r>
      <w:r w:rsidR="00743196" w:rsidRPr="00A0780C">
        <w:rPr>
          <w:rFonts w:ascii="Garamond" w:hAnsi="Garamond"/>
          <w:sz w:val="22"/>
          <w:szCs w:val="22"/>
        </w:rPr>
        <w:t xml:space="preserve">Task </w:t>
      </w:r>
      <w:r w:rsidR="00F76D9A" w:rsidRPr="00A0780C">
        <w:rPr>
          <w:rFonts w:ascii="Garamond" w:hAnsi="Garamond"/>
          <w:sz w:val="22"/>
          <w:szCs w:val="22"/>
        </w:rPr>
        <w:t>Force</w:t>
      </w:r>
      <w:r w:rsidR="00CC23F5" w:rsidRPr="00A0780C">
        <w:rPr>
          <w:rFonts w:ascii="Garamond" w:hAnsi="Garamond"/>
          <w:sz w:val="22"/>
          <w:szCs w:val="22"/>
        </w:rPr>
        <w:t xml:space="preserve"> (TF)</w:t>
      </w:r>
      <w:r w:rsidR="00F76D9A" w:rsidRPr="00A0780C">
        <w:rPr>
          <w:rFonts w:ascii="Garamond" w:hAnsi="Garamond"/>
          <w:sz w:val="22"/>
          <w:szCs w:val="22"/>
        </w:rPr>
        <w:t xml:space="preserve"> meetings</w:t>
      </w:r>
      <w:r w:rsidR="003948BA" w:rsidRPr="00A0780C">
        <w:rPr>
          <w:rFonts w:ascii="Garamond" w:hAnsi="Garamond"/>
          <w:sz w:val="22"/>
          <w:szCs w:val="22"/>
        </w:rPr>
        <w:t xml:space="preserve"> and </w:t>
      </w:r>
      <w:r w:rsidR="00E308E2">
        <w:rPr>
          <w:rFonts w:ascii="Garamond" w:hAnsi="Garamond"/>
          <w:sz w:val="22"/>
          <w:szCs w:val="22"/>
        </w:rPr>
        <w:t>two</w:t>
      </w:r>
      <w:r w:rsidR="00CC23F5" w:rsidRPr="00A0780C">
        <w:rPr>
          <w:rFonts w:ascii="Garamond" w:hAnsi="Garamond"/>
          <w:sz w:val="22"/>
          <w:szCs w:val="22"/>
        </w:rPr>
        <w:t xml:space="preserve"> </w:t>
      </w:r>
      <w:r w:rsidR="004A02F1" w:rsidRPr="00A0780C">
        <w:rPr>
          <w:rFonts w:ascii="Garamond" w:hAnsi="Garamond"/>
          <w:sz w:val="22"/>
          <w:szCs w:val="22"/>
        </w:rPr>
        <w:t>T</w:t>
      </w:r>
      <w:r w:rsidR="005B7A1F" w:rsidRPr="00A0780C">
        <w:rPr>
          <w:rFonts w:ascii="Garamond" w:hAnsi="Garamond"/>
          <w:sz w:val="22"/>
          <w:szCs w:val="22"/>
        </w:rPr>
        <w:t>echnical Track Work Group</w:t>
      </w:r>
      <w:r w:rsidR="00871107" w:rsidRPr="00A0780C">
        <w:rPr>
          <w:rFonts w:ascii="Garamond" w:hAnsi="Garamond"/>
          <w:sz w:val="22"/>
          <w:szCs w:val="22"/>
        </w:rPr>
        <w:t xml:space="preserve"> </w:t>
      </w:r>
      <w:r w:rsidR="00656103" w:rsidRPr="00A0780C">
        <w:rPr>
          <w:rFonts w:ascii="Garamond" w:hAnsi="Garamond"/>
          <w:sz w:val="22"/>
          <w:szCs w:val="22"/>
        </w:rPr>
        <w:t xml:space="preserve">(TTWG) </w:t>
      </w:r>
      <w:r w:rsidR="00871107" w:rsidRPr="00A0780C">
        <w:rPr>
          <w:rFonts w:ascii="Garamond" w:hAnsi="Garamond"/>
          <w:sz w:val="22"/>
          <w:szCs w:val="22"/>
        </w:rPr>
        <w:t>meetings</w:t>
      </w:r>
      <w:r w:rsidR="004B3162">
        <w:rPr>
          <w:rFonts w:ascii="Garamond" w:hAnsi="Garamond"/>
          <w:sz w:val="22"/>
          <w:szCs w:val="22"/>
        </w:rPr>
        <w:t>.</w:t>
      </w:r>
      <w:r w:rsidR="00132DA6" w:rsidRPr="00A0780C">
        <w:rPr>
          <w:rFonts w:ascii="Garamond" w:hAnsi="Garamond"/>
          <w:sz w:val="22"/>
          <w:szCs w:val="22"/>
        </w:rPr>
        <w:t xml:space="preserve"> </w:t>
      </w:r>
      <w:r w:rsidR="00656103" w:rsidRPr="00A0780C">
        <w:rPr>
          <w:rFonts w:ascii="Garamond" w:hAnsi="Garamond"/>
          <w:sz w:val="22"/>
          <w:szCs w:val="22"/>
        </w:rPr>
        <w:t>Chris</w:t>
      </w:r>
      <w:r w:rsidR="00D40935" w:rsidRPr="00A0780C">
        <w:rPr>
          <w:rFonts w:ascii="Garamond" w:hAnsi="Garamond"/>
          <w:sz w:val="22"/>
          <w:szCs w:val="22"/>
        </w:rPr>
        <w:t xml:space="preserve"> </w:t>
      </w:r>
      <w:r w:rsidR="00656103" w:rsidRPr="00A0780C">
        <w:rPr>
          <w:rFonts w:ascii="Garamond" w:hAnsi="Garamond"/>
          <w:sz w:val="22"/>
          <w:szCs w:val="22"/>
        </w:rPr>
        <w:t>facilitated</w:t>
      </w:r>
      <w:r w:rsidR="00781603" w:rsidRPr="00A0780C">
        <w:rPr>
          <w:rFonts w:ascii="Garamond" w:hAnsi="Garamond"/>
          <w:sz w:val="22"/>
          <w:szCs w:val="22"/>
        </w:rPr>
        <w:t xml:space="preserve"> </w:t>
      </w:r>
      <w:r w:rsidR="00937856">
        <w:rPr>
          <w:rFonts w:ascii="Garamond" w:hAnsi="Garamond"/>
          <w:sz w:val="22"/>
          <w:szCs w:val="22"/>
        </w:rPr>
        <w:t>4</w:t>
      </w:r>
      <w:r w:rsidR="00CC23F5" w:rsidRPr="00A0780C">
        <w:rPr>
          <w:rFonts w:ascii="Garamond" w:hAnsi="Garamond"/>
          <w:sz w:val="22"/>
          <w:szCs w:val="22"/>
        </w:rPr>
        <w:t xml:space="preserve"> meetings. </w:t>
      </w:r>
      <w:r w:rsidR="00937856">
        <w:rPr>
          <w:rFonts w:ascii="Garamond" w:hAnsi="Garamond"/>
          <w:sz w:val="22"/>
          <w:szCs w:val="22"/>
        </w:rPr>
        <w:t xml:space="preserve">Kara also </w:t>
      </w:r>
      <w:r w:rsidR="000B5123" w:rsidRPr="00A0780C">
        <w:rPr>
          <w:rFonts w:ascii="Garamond" w:hAnsi="Garamond"/>
          <w:sz w:val="22"/>
          <w:szCs w:val="22"/>
        </w:rPr>
        <w:t>developed the agenda</w:t>
      </w:r>
      <w:r w:rsidR="00937856">
        <w:rPr>
          <w:rFonts w:ascii="Garamond" w:hAnsi="Garamond"/>
          <w:sz w:val="22"/>
          <w:szCs w:val="22"/>
        </w:rPr>
        <w:t xml:space="preserve"> for </w:t>
      </w:r>
      <w:r w:rsidR="00E308E2">
        <w:rPr>
          <w:rFonts w:ascii="Garamond" w:hAnsi="Garamond"/>
          <w:sz w:val="22"/>
          <w:szCs w:val="22"/>
        </w:rPr>
        <w:t xml:space="preserve">two </w:t>
      </w:r>
      <w:r w:rsidR="00E308E2" w:rsidRPr="00A0780C">
        <w:rPr>
          <w:rFonts w:ascii="Garamond" w:hAnsi="Garamond"/>
          <w:sz w:val="22"/>
          <w:szCs w:val="22"/>
        </w:rPr>
        <w:t>Education and Outreach Work Group (EO)</w:t>
      </w:r>
      <w:r w:rsidR="00E308E2">
        <w:rPr>
          <w:rFonts w:ascii="Garamond" w:hAnsi="Garamond"/>
          <w:sz w:val="22"/>
          <w:szCs w:val="22"/>
        </w:rPr>
        <w:t xml:space="preserve"> meetings, </w:t>
      </w:r>
      <w:r w:rsidR="00937856">
        <w:rPr>
          <w:rFonts w:ascii="Garamond" w:hAnsi="Garamond"/>
          <w:sz w:val="22"/>
          <w:szCs w:val="22"/>
        </w:rPr>
        <w:t>facilitat</w:t>
      </w:r>
      <w:r w:rsidR="00E308E2">
        <w:rPr>
          <w:rFonts w:ascii="Garamond" w:hAnsi="Garamond"/>
          <w:sz w:val="22"/>
          <w:szCs w:val="22"/>
        </w:rPr>
        <w:t>ing one of them</w:t>
      </w:r>
      <w:r w:rsidR="00937856">
        <w:rPr>
          <w:rFonts w:ascii="Garamond" w:hAnsi="Garamond"/>
          <w:sz w:val="22"/>
          <w:szCs w:val="22"/>
        </w:rPr>
        <w:t xml:space="preserve">.  </w:t>
      </w:r>
      <w:r w:rsidR="00CA7C26" w:rsidRPr="00A0780C">
        <w:rPr>
          <w:rFonts w:ascii="Garamond" w:hAnsi="Garamond"/>
          <w:sz w:val="22"/>
          <w:szCs w:val="22"/>
        </w:rPr>
        <w:t>Kara drafted and distributed announcements</w:t>
      </w:r>
      <w:r w:rsidR="00983D52" w:rsidRPr="00A0780C">
        <w:rPr>
          <w:rFonts w:ascii="Garamond" w:hAnsi="Garamond"/>
          <w:sz w:val="22"/>
          <w:szCs w:val="22"/>
        </w:rPr>
        <w:t xml:space="preserve">, </w:t>
      </w:r>
      <w:r w:rsidR="00F76D9A" w:rsidRPr="00A0780C">
        <w:rPr>
          <w:rFonts w:ascii="Garamond" w:hAnsi="Garamond"/>
          <w:sz w:val="22"/>
          <w:szCs w:val="22"/>
        </w:rPr>
        <w:t>materials</w:t>
      </w:r>
      <w:r w:rsidR="003F4F96" w:rsidRPr="00A0780C">
        <w:rPr>
          <w:rFonts w:ascii="Garamond" w:hAnsi="Garamond"/>
          <w:sz w:val="22"/>
          <w:szCs w:val="22"/>
        </w:rPr>
        <w:t>, and summaries</w:t>
      </w:r>
      <w:r w:rsidR="00D02635" w:rsidRPr="00A0780C">
        <w:rPr>
          <w:rFonts w:ascii="Garamond" w:hAnsi="Garamond"/>
          <w:sz w:val="22"/>
          <w:szCs w:val="22"/>
        </w:rPr>
        <w:t xml:space="preserve"> </w:t>
      </w:r>
      <w:r w:rsidR="000B5123" w:rsidRPr="00A0780C">
        <w:rPr>
          <w:rFonts w:ascii="Garamond" w:hAnsi="Garamond"/>
          <w:sz w:val="22"/>
          <w:szCs w:val="22"/>
        </w:rPr>
        <w:t xml:space="preserve">for </w:t>
      </w:r>
      <w:r w:rsidR="00D41EFC" w:rsidRPr="00A0780C">
        <w:rPr>
          <w:rFonts w:ascii="Garamond" w:hAnsi="Garamond"/>
          <w:sz w:val="22"/>
          <w:szCs w:val="22"/>
        </w:rPr>
        <w:t>each meeting</w:t>
      </w:r>
      <w:r w:rsidR="000B5123" w:rsidRPr="00A0780C">
        <w:rPr>
          <w:rFonts w:ascii="Garamond" w:hAnsi="Garamond"/>
          <w:sz w:val="22"/>
          <w:szCs w:val="22"/>
        </w:rPr>
        <w:t xml:space="preserve"> and for general Task Force communications</w:t>
      </w:r>
      <w:r w:rsidR="00C33403" w:rsidRPr="00A0780C">
        <w:rPr>
          <w:rFonts w:ascii="Garamond" w:hAnsi="Garamond"/>
          <w:sz w:val="22"/>
          <w:szCs w:val="22"/>
        </w:rPr>
        <w:t xml:space="preserve">. </w:t>
      </w:r>
      <w:r w:rsidR="00937856">
        <w:rPr>
          <w:rFonts w:ascii="Garamond" w:hAnsi="Garamond"/>
          <w:sz w:val="22"/>
          <w:szCs w:val="22"/>
        </w:rPr>
        <w:t xml:space="preserve">Chris and </w:t>
      </w:r>
      <w:r w:rsidR="00C33403" w:rsidRPr="00A0780C">
        <w:rPr>
          <w:rFonts w:ascii="Garamond" w:hAnsi="Garamond"/>
          <w:sz w:val="22"/>
          <w:szCs w:val="22"/>
        </w:rPr>
        <w:t xml:space="preserve">Kara also helped manage communications at the meetings including conference phones, presentations, and the use of webinars. </w:t>
      </w:r>
      <w:r w:rsidR="00C95315">
        <w:rPr>
          <w:rFonts w:ascii="Garamond" w:hAnsi="Garamond"/>
          <w:sz w:val="22"/>
          <w:szCs w:val="22"/>
        </w:rPr>
        <w:t>16 decisions/action items in October 2017 and 11 decisions/action items in November 2017 (not meetings in December)</w:t>
      </w:r>
      <w:r w:rsidR="0089662A">
        <w:rPr>
          <w:rFonts w:ascii="Garamond" w:hAnsi="Garamond"/>
          <w:sz w:val="22"/>
          <w:szCs w:val="22"/>
        </w:rPr>
        <w:t xml:space="preserve">. </w:t>
      </w:r>
    </w:p>
    <w:p w:rsidR="00C01ADC" w:rsidRPr="0089662A" w:rsidRDefault="00D70646" w:rsidP="00F663CE">
      <w:pPr>
        <w:pStyle w:val="ListParagraph"/>
        <w:numPr>
          <w:ilvl w:val="0"/>
          <w:numId w:val="13"/>
        </w:numPr>
        <w:rPr>
          <w:rFonts w:ascii="Garamond" w:hAnsi="Garamond"/>
        </w:rPr>
      </w:pPr>
      <w:r w:rsidRPr="0089662A">
        <w:rPr>
          <w:rFonts w:ascii="Garamond" w:hAnsi="Garamond"/>
          <w:b/>
        </w:rPr>
        <w:t xml:space="preserve">Website Management: </w:t>
      </w:r>
      <w:r w:rsidR="001F5924" w:rsidRPr="0089662A">
        <w:rPr>
          <w:rFonts w:ascii="Garamond" w:hAnsi="Garamond"/>
        </w:rPr>
        <w:t xml:space="preserve">Kara </w:t>
      </w:r>
      <w:r w:rsidR="00983D52" w:rsidRPr="0089662A">
        <w:rPr>
          <w:rFonts w:ascii="Garamond" w:hAnsi="Garamond"/>
        </w:rPr>
        <w:t xml:space="preserve">managed and updated the </w:t>
      </w:r>
      <w:r w:rsidR="00BB3D4F" w:rsidRPr="0089662A">
        <w:rPr>
          <w:rFonts w:ascii="Garamond" w:hAnsi="Garamond"/>
        </w:rPr>
        <w:t>web page on behalf of the Task F</w:t>
      </w:r>
      <w:r w:rsidRPr="0089662A">
        <w:rPr>
          <w:rFonts w:ascii="Garamond" w:hAnsi="Garamond"/>
        </w:rPr>
        <w:t>orce f</w:t>
      </w:r>
      <w:r w:rsidR="00D02635" w:rsidRPr="0089662A">
        <w:rPr>
          <w:rFonts w:ascii="Garamond" w:hAnsi="Garamond"/>
        </w:rPr>
        <w:t xml:space="preserve">or </w:t>
      </w:r>
      <w:r w:rsidR="00633FAB" w:rsidRPr="0089662A">
        <w:rPr>
          <w:rFonts w:ascii="Garamond" w:hAnsi="Garamond"/>
        </w:rPr>
        <w:t xml:space="preserve">all </w:t>
      </w:r>
      <w:r w:rsidR="00983D52" w:rsidRPr="0089662A">
        <w:rPr>
          <w:rFonts w:ascii="Garamond" w:hAnsi="Garamond"/>
        </w:rPr>
        <w:t>meeting</w:t>
      </w:r>
      <w:r w:rsidR="00BB3D4F" w:rsidRPr="0089662A">
        <w:rPr>
          <w:rFonts w:ascii="Garamond" w:hAnsi="Garamond"/>
        </w:rPr>
        <w:t>s facilitated by the Ruckelshaus Center</w:t>
      </w:r>
      <w:r w:rsidRPr="0089662A">
        <w:rPr>
          <w:rFonts w:ascii="Garamond" w:hAnsi="Garamond"/>
        </w:rPr>
        <w:t>.</w:t>
      </w:r>
      <w:r w:rsidR="00BB3D4F" w:rsidRPr="0089662A">
        <w:rPr>
          <w:rFonts w:ascii="Garamond" w:hAnsi="Garamond"/>
        </w:rPr>
        <w:t xml:space="preserve"> </w:t>
      </w:r>
      <w:r w:rsidRPr="0089662A">
        <w:rPr>
          <w:rFonts w:ascii="Garamond" w:hAnsi="Garamond"/>
        </w:rPr>
        <w:t>T</w:t>
      </w:r>
      <w:r w:rsidR="00BB3D4F" w:rsidRPr="0089662A">
        <w:rPr>
          <w:rFonts w:ascii="Garamond" w:hAnsi="Garamond"/>
        </w:rPr>
        <w:t>his included posting meeting announcements,</w:t>
      </w:r>
      <w:r w:rsidR="00983D52" w:rsidRPr="0089662A">
        <w:rPr>
          <w:rFonts w:ascii="Garamond" w:hAnsi="Garamond"/>
        </w:rPr>
        <w:t xml:space="preserve"> materials</w:t>
      </w:r>
      <w:r w:rsidR="00E85F02" w:rsidRPr="0089662A">
        <w:rPr>
          <w:rFonts w:ascii="Garamond" w:hAnsi="Garamond"/>
        </w:rPr>
        <w:t xml:space="preserve"> and supporting documents</w:t>
      </w:r>
      <w:r w:rsidR="00BB3D4F" w:rsidRPr="0089662A">
        <w:rPr>
          <w:rFonts w:ascii="Garamond" w:hAnsi="Garamond"/>
        </w:rPr>
        <w:t>, and meeting summaries</w:t>
      </w:r>
      <w:r w:rsidR="00663B88" w:rsidRPr="0089662A">
        <w:rPr>
          <w:rFonts w:ascii="Garamond" w:hAnsi="Garamond"/>
        </w:rPr>
        <w:t>.</w:t>
      </w:r>
      <w:r w:rsidR="00E0317A" w:rsidRPr="0089662A">
        <w:rPr>
          <w:rFonts w:ascii="Garamond" w:hAnsi="Garamond"/>
        </w:rPr>
        <w:t xml:space="preserve"> 15 announcements were distributed via the Task Force website and Constant Contact during this quarter. </w:t>
      </w:r>
      <w:r w:rsidR="0089662A" w:rsidRPr="0089662A">
        <w:rPr>
          <w:rFonts w:ascii="Garamond" w:eastAsia="Times New Roman" w:hAnsi="Garamond"/>
        </w:rPr>
        <w:t xml:space="preserve">Kara also scheduled all TTWG and TF meeting locations and times for 2018 year and sent out outlook meeting invites to all regular attendees of the meetings.  </w:t>
      </w:r>
    </w:p>
    <w:p w:rsidR="00AB6174" w:rsidRPr="00A0780C" w:rsidRDefault="00C01ADC" w:rsidP="0084264E">
      <w:pPr>
        <w:numPr>
          <w:ilvl w:val="0"/>
          <w:numId w:val="13"/>
        </w:numPr>
        <w:rPr>
          <w:rFonts w:ascii="Garamond" w:hAnsi="Garamond"/>
          <w:sz w:val="22"/>
          <w:szCs w:val="22"/>
        </w:rPr>
      </w:pPr>
      <w:r w:rsidRPr="00A0780C">
        <w:rPr>
          <w:rFonts w:ascii="Garamond" w:hAnsi="Garamond"/>
          <w:b/>
          <w:sz w:val="22"/>
          <w:szCs w:val="22"/>
        </w:rPr>
        <w:t xml:space="preserve">Technical Advisor: </w:t>
      </w:r>
      <w:r w:rsidRPr="00A0780C">
        <w:rPr>
          <w:rFonts w:ascii="Garamond" w:hAnsi="Garamond"/>
          <w:sz w:val="22"/>
          <w:szCs w:val="22"/>
        </w:rPr>
        <w:t xml:space="preserve">The Task Force worked with the Technical Advisor </w:t>
      </w:r>
      <w:r w:rsidR="00D507CC" w:rsidRPr="00A0780C">
        <w:rPr>
          <w:rFonts w:ascii="Garamond" w:hAnsi="Garamond"/>
          <w:sz w:val="22"/>
          <w:szCs w:val="22"/>
        </w:rPr>
        <w:t>(</w:t>
      </w:r>
      <w:r w:rsidRPr="00A0780C">
        <w:rPr>
          <w:rFonts w:ascii="Garamond" w:hAnsi="Garamond"/>
          <w:sz w:val="22"/>
          <w:szCs w:val="22"/>
        </w:rPr>
        <w:t>Limno</w:t>
      </w:r>
      <w:r w:rsidR="00285244" w:rsidRPr="00A0780C">
        <w:rPr>
          <w:rFonts w:ascii="Garamond" w:hAnsi="Garamond"/>
          <w:sz w:val="22"/>
          <w:szCs w:val="22"/>
        </w:rPr>
        <w:t>Tech</w:t>
      </w:r>
      <w:r w:rsidR="00D507CC" w:rsidRPr="00A0780C">
        <w:rPr>
          <w:rFonts w:ascii="Garamond" w:hAnsi="Garamond"/>
          <w:sz w:val="22"/>
          <w:szCs w:val="22"/>
        </w:rPr>
        <w:t>)</w:t>
      </w:r>
      <w:r w:rsidR="00285244" w:rsidRPr="00A0780C">
        <w:rPr>
          <w:rFonts w:ascii="Garamond" w:hAnsi="Garamond"/>
          <w:sz w:val="22"/>
          <w:szCs w:val="22"/>
        </w:rPr>
        <w:t xml:space="preserve"> </w:t>
      </w:r>
      <w:r w:rsidR="00791E46" w:rsidRPr="00A0780C">
        <w:rPr>
          <w:rFonts w:ascii="Garamond" w:hAnsi="Garamond"/>
          <w:sz w:val="22"/>
          <w:szCs w:val="22"/>
        </w:rPr>
        <w:t xml:space="preserve">and other technical staff (Department of Ecology Environmental Assessment Program staff, representatives from Task Force entities, and TTWG Chair Bud Leber) </w:t>
      </w:r>
      <w:r w:rsidR="00285244" w:rsidRPr="00A0780C">
        <w:rPr>
          <w:rFonts w:ascii="Garamond" w:hAnsi="Garamond"/>
          <w:sz w:val="22"/>
          <w:szCs w:val="22"/>
        </w:rPr>
        <w:t xml:space="preserve">to </w:t>
      </w:r>
      <w:r w:rsidR="00663B88" w:rsidRPr="00A0780C">
        <w:rPr>
          <w:rFonts w:ascii="Garamond" w:hAnsi="Garamond"/>
          <w:sz w:val="22"/>
          <w:szCs w:val="22"/>
        </w:rPr>
        <w:t>assist in Task Force understanding of technical issues</w:t>
      </w:r>
      <w:r w:rsidR="00AD27F5" w:rsidRPr="00A0780C">
        <w:rPr>
          <w:rFonts w:ascii="Garamond" w:hAnsi="Garamond"/>
          <w:sz w:val="22"/>
          <w:szCs w:val="22"/>
        </w:rPr>
        <w:t>,</w:t>
      </w:r>
      <w:r w:rsidR="00663B88" w:rsidRPr="00A0780C">
        <w:rPr>
          <w:rFonts w:ascii="Garamond" w:hAnsi="Garamond"/>
          <w:sz w:val="22"/>
          <w:szCs w:val="22"/>
        </w:rPr>
        <w:t xml:space="preserve"> to ensure </w:t>
      </w:r>
      <w:r w:rsidR="00633FAB" w:rsidRPr="00A0780C">
        <w:rPr>
          <w:rFonts w:ascii="Garamond" w:hAnsi="Garamond"/>
          <w:sz w:val="22"/>
          <w:szCs w:val="22"/>
        </w:rPr>
        <w:t xml:space="preserve">adequate vetting of </w:t>
      </w:r>
      <w:r w:rsidR="00791E46" w:rsidRPr="00A0780C">
        <w:rPr>
          <w:rFonts w:ascii="Garamond" w:hAnsi="Garamond"/>
          <w:sz w:val="22"/>
          <w:szCs w:val="22"/>
        </w:rPr>
        <w:t xml:space="preserve">presentations and reports </w:t>
      </w:r>
      <w:r w:rsidR="00663B88" w:rsidRPr="00A0780C">
        <w:rPr>
          <w:rFonts w:ascii="Garamond" w:hAnsi="Garamond"/>
          <w:sz w:val="22"/>
          <w:szCs w:val="22"/>
        </w:rPr>
        <w:t>before meetings</w:t>
      </w:r>
      <w:r w:rsidR="00AD27F5" w:rsidRPr="00A0780C">
        <w:rPr>
          <w:rFonts w:ascii="Garamond" w:hAnsi="Garamond"/>
          <w:sz w:val="22"/>
          <w:szCs w:val="22"/>
        </w:rPr>
        <w:t xml:space="preserve">, and to enable the </w:t>
      </w:r>
      <w:r w:rsidR="00AD27F5" w:rsidRPr="00A0780C">
        <w:rPr>
          <w:rFonts w:ascii="Garamond" w:hAnsi="Garamond"/>
          <w:sz w:val="22"/>
          <w:szCs w:val="22"/>
        </w:rPr>
        <w:lastRenderedPageBreak/>
        <w:t>TTWG to discuss and recommend next steps on technical issues to the full SRRTTF for decisions and actions</w:t>
      </w:r>
      <w:r w:rsidR="00663B88" w:rsidRPr="00A0780C">
        <w:rPr>
          <w:rFonts w:ascii="Garamond" w:hAnsi="Garamond"/>
          <w:sz w:val="22"/>
          <w:szCs w:val="22"/>
        </w:rPr>
        <w:t>.</w:t>
      </w:r>
      <w:r w:rsidR="00835586" w:rsidRPr="00A0780C">
        <w:rPr>
          <w:rFonts w:ascii="Garamond" w:hAnsi="Garamond"/>
          <w:sz w:val="22"/>
          <w:szCs w:val="22"/>
        </w:rPr>
        <w:t xml:space="preserve"> </w:t>
      </w:r>
    </w:p>
    <w:p w:rsidR="0006783C" w:rsidRDefault="00A42CA6" w:rsidP="00DF47B6">
      <w:pPr>
        <w:pStyle w:val="ListParagraph"/>
        <w:numPr>
          <w:ilvl w:val="0"/>
          <w:numId w:val="13"/>
        </w:numPr>
        <w:rPr>
          <w:rFonts w:ascii="Garamond" w:eastAsia="Times New Roman" w:hAnsi="Garamond"/>
        </w:rPr>
      </w:pPr>
      <w:r w:rsidRPr="00A0780C">
        <w:rPr>
          <w:rFonts w:ascii="Garamond" w:hAnsi="Garamond"/>
          <w:b/>
        </w:rPr>
        <w:t>SRRTTF Comprehensive Plan</w:t>
      </w:r>
      <w:r w:rsidR="00117B80" w:rsidRPr="00A0780C">
        <w:rPr>
          <w:rFonts w:ascii="Garamond" w:hAnsi="Garamond"/>
          <w:b/>
        </w:rPr>
        <w:t>:</w:t>
      </w:r>
      <w:r w:rsidR="00117B80" w:rsidRPr="00A0780C">
        <w:rPr>
          <w:rFonts w:ascii="Garamond" w:hAnsi="Garamond"/>
        </w:rPr>
        <w:t xml:space="preserve"> </w:t>
      </w:r>
      <w:r w:rsidR="00922A16" w:rsidRPr="00A0780C">
        <w:rPr>
          <w:rFonts w:ascii="Garamond" w:eastAsia="Times New Roman" w:hAnsi="Garamond"/>
        </w:rPr>
        <w:t xml:space="preserve">The Center </w:t>
      </w:r>
      <w:r w:rsidR="004B3162">
        <w:rPr>
          <w:rFonts w:ascii="Garamond" w:eastAsia="Times New Roman" w:hAnsi="Garamond"/>
        </w:rPr>
        <w:t xml:space="preserve">provided communication assistance to, and quarterly check-ins with the multiple working groups of the Task Force related to the Comp Plan. </w:t>
      </w:r>
    </w:p>
    <w:p w:rsidR="00AB301C" w:rsidRPr="00C95315" w:rsidRDefault="00AB301C" w:rsidP="00AB301C">
      <w:pPr>
        <w:pStyle w:val="ListParagraph"/>
        <w:numPr>
          <w:ilvl w:val="0"/>
          <w:numId w:val="13"/>
        </w:numPr>
        <w:rPr>
          <w:rFonts w:ascii="Garamond" w:eastAsia="Times New Roman" w:hAnsi="Garamond"/>
        </w:rPr>
      </w:pPr>
      <w:r>
        <w:rPr>
          <w:rFonts w:ascii="Garamond" w:hAnsi="Garamond"/>
          <w:b/>
        </w:rPr>
        <w:t>Implementation Review Summary:</w:t>
      </w:r>
      <w:r>
        <w:rPr>
          <w:rFonts w:ascii="Garamond" w:eastAsia="Times New Roman" w:hAnsi="Garamond"/>
        </w:rPr>
        <w:t xml:space="preserve"> The Center began the development of the draft Annual Implementation Review Summary (IRS) as stated in the Comprehensive Action Plan. This included requesting information from the Technical Advisor, each small work group, and from individual entities. The Center compiled a list of action items, decisions, and accomplishments made throughout 2017 for inclusion as an appendix to the IRS. The document is still in development, set to be decided upon at the January 2018 Task Force meeting. </w:t>
      </w:r>
    </w:p>
    <w:p w:rsidR="003A4205" w:rsidRDefault="0084264E" w:rsidP="003A4205">
      <w:pPr>
        <w:pStyle w:val="ListParagraph"/>
        <w:numPr>
          <w:ilvl w:val="0"/>
          <w:numId w:val="13"/>
        </w:numPr>
        <w:rPr>
          <w:rFonts w:ascii="Garamond" w:eastAsia="Times New Roman" w:hAnsi="Garamond"/>
        </w:rPr>
      </w:pPr>
      <w:r w:rsidRPr="00A0780C">
        <w:rPr>
          <w:rFonts w:ascii="Garamond" w:hAnsi="Garamond"/>
          <w:b/>
        </w:rPr>
        <w:t>Outreach:</w:t>
      </w:r>
      <w:r w:rsidRPr="00A0780C">
        <w:rPr>
          <w:rFonts w:ascii="Garamond" w:hAnsi="Garamond"/>
        </w:rPr>
        <w:t xml:space="preserve"> </w:t>
      </w:r>
      <w:r w:rsidR="003A4205" w:rsidRPr="00A0780C">
        <w:rPr>
          <w:rFonts w:ascii="Garamond" w:eastAsia="Times New Roman" w:hAnsi="Garamond"/>
        </w:rPr>
        <w:t xml:space="preserve">The Center also continued to facilitate the Task Force Education and Outreach workgroup, which </w:t>
      </w:r>
      <w:r w:rsidR="00E0317A">
        <w:rPr>
          <w:rFonts w:ascii="Garamond" w:eastAsia="Times New Roman" w:hAnsi="Garamond"/>
        </w:rPr>
        <w:t>continued to</w:t>
      </w:r>
      <w:r w:rsidR="003A4205" w:rsidRPr="00A0780C">
        <w:rPr>
          <w:rFonts w:ascii="Garamond" w:eastAsia="Times New Roman" w:hAnsi="Garamond"/>
        </w:rPr>
        <w:t xml:space="preserve"> </w:t>
      </w:r>
      <w:r w:rsidR="00333319">
        <w:rPr>
          <w:rFonts w:ascii="Garamond" w:eastAsia="Times New Roman" w:hAnsi="Garamond"/>
        </w:rPr>
        <w:t>develop the outreach website</w:t>
      </w:r>
      <w:r w:rsidR="00E0317A">
        <w:rPr>
          <w:rFonts w:ascii="Garamond" w:eastAsia="Times New Roman" w:hAnsi="Garamond"/>
        </w:rPr>
        <w:t xml:space="preserve">. The Task Force posters were completely revised and printed for display at the November 2017 </w:t>
      </w:r>
      <w:r w:rsidR="00333319">
        <w:rPr>
          <w:rFonts w:ascii="Garamond" w:eastAsia="Times New Roman" w:hAnsi="Garamond"/>
        </w:rPr>
        <w:t>Spokane River Forum</w:t>
      </w:r>
      <w:r w:rsidR="00E0317A">
        <w:rPr>
          <w:rFonts w:ascii="Garamond" w:eastAsia="Times New Roman" w:hAnsi="Garamond"/>
        </w:rPr>
        <w:t xml:space="preserve">. </w:t>
      </w:r>
    </w:p>
    <w:p w:rsidR="00C95315" w:rsidRDefault="00E0317A" w:rsidP="00C95315">
      <w:pPr>
        <w:pStyle w:val="ListParagraph"/>
        <w:numPr>
          <w:ilvl w:val="0"/>
          <w:numId w:val="13"/>
        </w:numPr>
        <w:rPr>
          <w:rFonts w:ascii="Garamond" w:eastAsia="Times New Roman" w:hAnsi="Garamond"/>
        </w:rPr>
      </w:pPr>
      <w:r>
        <w:rPr>
          <w:rFonts w:ascii="Garamond" w:hAnsi="Garamond"/>
          <w:b/>
        </w:rPr>
        <w:t>Spokane River Forum:</w:t>
      </w:r>
      <w:r>
        <w:rPr>
          <w:rFonts w:ascii="Garamond" w:eastAsia="Times New Roman" w:hAnsi="Garamond"/>
        </w:rPr>
        <w:t xml:space="preserve"> Kara Whitman attended the “Our Gem” Conference and the Spokane River Forum. </w:t>
      </w:r>
      <w:r w:rsidR="006377D3">
        <w:rPr>
          <w:rFonts w:ascii="Garamond" w:eastAsia="Times New Roman" w:hAnsi="Garamond"/>
        </w:rPr>
        <w:t xml:space="preserve">Kara printed the revised Outreach Posters and displayed them at the conference. </w:t>
      </w:r>
      <w:r>
        <w:rPr>
          <w:rFonts w:ascii="Garamond" w:eastAsia="Times New Roman" w:hAnsi="Garamond"/>
        </w:rPr>
        <w:t>Kara moderated a session on a technical presentation by Ecology’s Environmental Assessment Program titled “</w:t>
      </w:r>
      <w:r w:rsidRPr="00E0317A">
        <w:rPr>
          <w:rFonts w:ascii="Garamond" w:eastAsia="Times New Roman" w:hAnsi="Garamond"/>
        </w:rPr>
        <w:t>Spokane River Toxics Monitoring Results</w:t>
      </w:r>
      <w:r>
        <w:rPr>
          <w:rFonts w:ascii="Garamond" w:eastAsia="Times New Roman" w:hAnsi="Garamond"/>
        </w:rPr>
        <w:t>” with speakers Brandee Era Miller and Siana Wong. Kara als</w:t>
      </w:r>
      <w:r w:rsidR="006377D3">
        <w:rPr>
          <w:rFonts w:ascii="Garamond" w:eastAsia="Times New Roman" w:hAnsi="Garamond"/>
        </w:rPr>
        <w:t xml:space="preserve">o </w:t>
      </w:r>
      <w:r>
        <w:rPr>
          <w:rFonts w:ascii="Garamond" w:eastAsia="Times New Roman" w:hAnsi="Garamond"/>
        </w:rPr>
        <w:t xml:space="preserve">participated in </w:t>
      </w:r>
      <w:r w:rsidR="006377D3">
        <w:rPr>
          <w:rFonts w:ascii="Garamond" w:eastAsia="Times New Roman" w:hAnsi="Garamond"/>
        </w:rPr>
        <w:t>the panel discussion on “</w:t>
      </w:r>
      <w:r w:rsidR="006377D3" w:rsidRPr="006377D3">
        <w:rPr>
          <w:rFonts w:ascii="Garamond" w:eastAsia="Times New Roman" w:hAnsi="Garamond"/>
        </w:rPr>
        <w:t>Creating a Vision for Toxics Reducti</w:t>
      </w:r>
      <w:r w:rsidR="006377D3">
        <w:rPr>
          <w:rFonts w:ascii="Garamond" w:eastAsia="Times New Roman" w:hAnsi="Garamond"/>
        </w:rPr>
        <w:t xml:space="preserve">on with Public Outreach” with Andy Dunau, Mike LaScuola, Tonilee Hanson, and Rick Barlow. </w:t>
      </w:r>
    </w:p>
    <w:p w:rsidR="00333319" w:rsidRDefault="00C95315" w:rsidP="00C95315">
      <w:pPr>
        <w:pStyle w:val="BodyText"/>
        <w:widowControl w:val="0"/>
        <w:numPr>
          <w:ilvl w:val="0"/>
          <w:numId w:val="27"/>
        </w:numPr>
        <w:tabs>
          <w:tab w:val="left" w:pos="630"/>
        </w:tabs>
        <w:ind w:left="450" w:hanging="360"/>
        <w:rPr>
          <w:rFonts w:ascii="Garamond" w:hAnsi="Garamond"/>
          <w:color w:val="000000" w:themeColor="text1"/>
          <w:szCs w:val="22"/>
        </w:rPr>
      </w:pPr>
      <w:r>
        <w:rPr>
          <w:rFonts w:ascii="Garamond" w:hAnsi="Garamond"/>
          <w:b/>
          <w:szCs w:val="22"/>
        </w:rPr>
        <w:t xml:space="preserve">Independent Scientific Review and </w:t>
      </w:r>
      <w:r w:rsidR="00A0780C" w:rsidRPr="003E13C1">
        <w:rPr>
          <w:rFonts w:ascii="Garamond" w:hAnsi="Garamond"/>
          <w:b/>
          <w:szCs w:val="22"/>
        </w:rPr>
        <w:t>University Resources:</w:t>
      </w:r>
      <w:r w:rsidR="00A0780C" w:rsidRPr="003E13C1">
        <w:rPr>
          <w:rFonts w:ascii="Garamond" w:hAnsi="Garamond"/>
          <w:color w:val="000000" w:themeColor="text1"/>
          <w:szCs w:val="22"/>
        </w:rPr>
        <w:t xml:space="preserve"> </w:t>
      </w:r>
    </w:p>
    <w:p w:rsidR="002D3B87" w:rsidRDefault="002D3B87" w:rsidP="002D3B87">
      <w:pPr>
        <w:pStyle w:val="BodyText"/>
        <w:numPr>
          <w:ilvl w:val="1"/>
          <w:numId w:val="27"/>
        </w:numPr>
        <w:rPr>
          <w:rFonts w:ascii="Garamond" w:hAnsi="Garamond"/>
          <w:color w:val="000000" w:themeColor="text1"/>
          <w:szCs w:val="22"/>
        </w:rPr>
      </w:pPr>
      <w:r w:rsidRPr="002D3B87">
        <w:rPr>
          <w:rFonts w:ascii="Garamond" w:hAnsi="Garamond"/>
          <w:color w:val="000000" w:themeColor="text1"/>
          <w:szCs w:val="22"/>
        </w:rPr>
        <w:t>Chris</w:t>
      </w:r>
      <w:r>
        <w:rPr>
          <w:rFonts w:ascii="Garamond" w:hAnsi="Garamond"/>
          <w:color w:val="000000" w:themeColor="text1"/>
          <w:szCs w:val="22"/>
        </w:rPr>
        <w:t xml:space="preserve"> Page</w:t>
      </w:r>
      <w:r w:rsidRPr="002D3B87">
        <w:rPr>
          <w:rFonts w:ascii="Garamond" w:hAnsi="Garamond"/>
          <w:color w:val="000000" w:themeColor="text1"/>
          <w:szCs w:val="22"/>
        </w:rPr>
        <w:t xml:space="preserve"> </w:t>
      </w:r>
      <w:r w:rsidR="006377D3">
        <w:rPr>
          <w:rFonts w:ascii="Garamond" w:hAnsi="Garamond"/>
          <w:color w:val="000000" w:themeColor="text1"/>
          <w:szCs w:val="22"/>
        </w:rPr>
        <w:t>continued to work on connecting the Task Force the</w:t>
      </w:r>
      <w:r w:rsidRPr="002D3B87">
        <w:rPr>
          <w:rFonts w:ascii="Garamond" w:hAnsi="Garamond"/>
          <w:color w:val="000000" w:themeColor="text1"/>
          <w:szCs w:val="22"/>
        </w:rPr>
        <w:t xml:space="preserve"> director of a joint Washington State University / University of Idaho consortium of faculty and graduate researchers (the Center for Environmental Research, Education, and Outreach), along with a University of Washington professor, to see if the Task Force might potentially utilize academic expertise in the form of an independent science panel to provide peer review, applied research, and other impartial vetting of Task Force science.</w:t>
      </w:r>
    </w:p>
    <w:p w:rsidR="00C95315" w:rsidRPr="0089662A" w:rsidRDefault="00C95315" w:rsidP="00CF7FF4">
      <w:pPr>
        <w:pStyle w:val="ListParagraph"/>
        <w:numPr>
          <w:ilvl w:val="1"/>
          <w:numId w:val="27"/>
        </w:numPr>
        <w:rPr>
          <w:rFonts w:ascii="Garamond" w:hAnsi="Garamond"/>
          <w:color w:val="000000" w:themeColor="text1"/>
        </w:rPr>
      </w:pPr>
      <w:r w:rsidRPr="0089662A">
        <w:rPr>
          <w:rFonts w:ascii="Garamond" w:hAnsi="Garamond"/>
          <w:color w:val="000000" w:themeColor="text1"/>
        </w:rPr>
        <w:t xml:space="preserve">Chris Page </w:t>
      </w:r>
      <w:r w:rsidR="0089662A" w:rsidRPr="0089662A">
        <w:rPr>
          <w:rFonts w:ascii="Garamond" w:hAnsi="Garamond"/>
          <w:color w:val="000000" w:themeColor="text1"/>
        </w:rPr>
        <w:t>connected with Donna Reardon of the WA State Academy of Sciences who could provide independent science review, with a specific statement of task. T</w:t>
      </w:r>
      <w:r w:rsidR="0089662A" w:rsidRPr="0089662A">
        <w:rPr>
          <w:rFonts w:ascii="Garamond" w:eastAsia="Times" w:hAnsi="Garamond"/>
          <w:color w:val="000000" w:themeColor="text1"/>
        </w:rPr>
        <w:t xml:space="preserve">he WA Academy of Sciences Scientists and engineers is organized with a purpose of bringing their knowledge to policy decisions. The academy has 270 members that mostly volunteer their time. The Academy can provide some insight and review of work the Task Force is doing. </w:t>
      </w:r>
    </w:p>
    <w:p w:rsidR="006377D3" w:rsidRDefault="006377D3" w:rsidP="002D3B87">
      <w:pPr>
        <w:pStyle w:val="BodyText"/>
        <w:numPr>
          <w:ilvl w:val="1"/>
          <w:numId w:val="27"/>
        </w:numPr>
        <w:rPr>
          <w:rFonts w:ascii="Garamond" w:hAnsi="Garamond"/>
          <w:color w:val="000000" w:themeColor="text1"/>
          <w:szCs w:val="22"/>
        </w:rPr>
      </w:pPr>
      <w:r>
        <w:rPr>
          <w:rFonts w:ascii="Garamond" w:hAnsi="Garamond"/>
          <w:color w:val="000000" w:themeColor="text1"/>
          <w:szCs w:val="22"/>
        </w:rPr>
        <w:t xml:space="preserve">Kara Whitman oversaw undergrad student Meghan Harris in the development of two Task Force outreach videos using existing Task Force interviews and information from the approved Task Force posters. These videos will be brought to the Education and Outreach work group for further work and then to the full Task Force in early 2018. </w:t>
      </w:r>
    </w:p>
    <w:p w:rsidR="006377D3" w:rsidRDefault="006377D3" w:rsidP="002D3B87">
      <w:pPr>
        <w:pStyle w:val="BodyText"/>
        <w:numPr>
          <w:ilvl w:val="1"/>
          <w:numId w:val="27"/>
        </w:numPr>
        <w:rPr>
          <w:rFonts w:ascii="Garamond" w:hAnsi="Garamond"/>
          <w:color w:val="000000" w:themeColor="text1"/>
          <w:szCs w:val="22"/>
        </w:rPr>
      </w:pPr>
      <w:r>
        <w:rPr>
          <w:rFonts w:ascii="Garamond" w:hAnsi="Garamond"/>
          <w:color w:val="000000" w:themeColor="text1"/>
          <w:szCs w:val="22"/>
        </w:rPr>
        <w:t>Kara Whitman has identified a</w:t>
      </w:r>
      <w:r w:rsidR="0089662A">
        <w:rPr>
          <w:rFonts w:ascii="Garamond" w:hAnsi="Garamond"/>
          <w:color w:val="000000" w:themeColor="text1"/>
          <w:szCs w:val="22"/>
        </w:rPr>
        <w:t>n</w:t>
      </w:r>
      <w:r>
        <w:rPr>
          <w:rFonts w:ascii="Garamond" w:hAnsi="Garamond"/>
          <w:color w:val="000000" w:themeColor="text1"/>
          <w:szCs w:val="22"/>
        </w:rPr>
        <w:t xml:space="preserve"> undergraduate student at WSU who would like to work on a project related to the Task Force. This student will complete 1 credit of special topics during spring of 2018 on a topic chosen from a list of brainstormed topics at the November Task Force meeting. </w:t>
      </w:r>
    </w:p>
    <w:p w:rsidR="00AB301C" w:rsidRDefault="00C95315" w:rsidP="00AB301C">
      <w:pPr>
        <w:pStyle w:val="BodyText"/>
        <w:numPr>
          <w:ilvl w:val="0"/>
          <w:numId w:val="27"/>
        </w:numPr>
        <w:ind w:left="450"/>
        <w:rPr>
          <w:rFonts w:ascii="Garamond" w:hAnsi="Garamond"/>
          <w:b/>
          <w:color w:val="000000" w:themeColor="text1"/>
          <w:szCs w:val="22"/>
        </w:rPr>
      </w:pPr>
      <w:r w:rsidRPr="00C95315">
        <w:rPr>
          <w:rFonts w:ascii="Garamond" w:hAnsi="Garamond"/>
          <w:b/>
          <w:color w:val="000000" w:themeColor="text1"/>
          <w:szCs w:val="22"/>
        </w:rPr>
        <w:t>Task Force Collaboration</w:t>
      </w:r>
      <w:r w:rsidR="00AB301C">
        <w:rPr>
          <w:rFonts w:ascii="Garamond" w:hAnsi="Garamond"/>
          <w:b/>
          <w:color w:val="000000" w:themeColor="text1"/>
          <w:szCs w:val="22"/>
        </w:rPr>
        <w:t xml:space="preserve"> and Process</w:t>
      </w:r>
      <w:r w:rsidRPr="00C95315">
        <w:rPr>
          <w:rFonts w:ascii="Garamond" w:hAnsi="Garamond"/>
          <w:b/>
          <w:color w:val="000000" w:themeColor="text1"/>
          <w:szCs w:val="22"/>
        </w:rPr>
        <w:t>:</w:t>
      </w:r>
      <w:r w:rsidR="008872C9">
        <w:rPr>
          <w:rFonts w:ascii="Garamond" w:hAnsi="Garamond"/>
          <w:b/>
          <w:color w:val="000000" w:themeColor="text1"/>
          <w:szCs w:val="22"/>
        </w:rPr>
        <w:t xml:space="preserve"> </w:t>
      </w:r>
    </w:p>
    <w:p w:rsidR="00C95315" w:rsidRPr="00AB301C" w:rsidRDefault="0089662A" w:rsidP="00AB301C">
      <w:pPr>
        <w:pStyle w:val="BodyText"/>
        <w:numPr>
          <w:ilvl w:val="1"/>
          <w:numId w:val="27"/>
        </w:numPr>
        <w:rPr>
          <w:rFonts w:ascii="Garamond" w:hAnsi="Garamond"/>
          <w:b/>
          <w:color w:val="000000" w:themeColor="text1"/>
          <w:szCs w:val="22"/>
        </w:rPr>
      </w:pPr>
      <w:r>
        <w:rPr>
          <w:rFonts w:ascii="Garamond" w:hAnsi="Garamond"/>
          <w:color w:val="000000" w:themeColor="text1"/>
          <w:szCs w:val="22"/>
        </w:rPr>
        <w:t xml:space="preserve">Collaboration: </w:t>
      </w:r>
      <w:r w:rsidR="008872C9">
        <w:rPr>
          <w:rFonts w:ascii="Garamond" w:hAnsi="Garamond"/>
          <w:color w:val="000000" w:themeColor="text1"/>
          <w:szCs w:val="22"/>
        </w:rPr>
        <w:t xml:space="preserve">Chris Page facilitated the Task Force through discussions about sustained Task Force Collaboration. </w:t>
      </w:r>
      <w:r w:rsidR="008872C9" w:rsidRPr="008872C9">
        <w:rPr>
          <w:rFonts w:ascii="Garamond" w:hAnsi="Garamond"/>
          <w:color w:val="000000" w:themeColor="text1"/>
          <w:szCs w:val="22"/>
        </w:rPr>
        <w:t>Chris Page</w:t>
      </w:r>
      <w:r w:rsidR="008872C9">
        <w:rPr>
          <w:rFonts w:ascii="Garamond" w:hAnsi="Garamond"/>
          <w:color w:val="000000" w:themeColor="text1"/>
          <w:szCs w:val="22"/>
        </w:rPr>
        <w:t xml:space="preserve"> contacted many Task Force member to discuss the collaboration and the Task Force facilitation. Chris also</w:t>
      </w:r>
      <w:r w:rsidR="008872C9" w:rsidRPr="008872C9">
        <w:rPr>
          <w:rFonts w:ascii="Garamond" w:hAnsi="Garamond"/>
          <w:color w:val="000000" w:themeColor="text1"/>
          <w:szCs w:val="22"/>
        </w:rPr>
        <w:t xml:space="preserve"> highlighted selected Task Force ground rules (from the Memorandum of Agreement) focusing on transparency, public communication, and trust. </w:t>
      </w:r>
      <w:r w:rsidR="008872C9">
        <w:rPr>
          <w:rFonts w:ascii="Garamond" w:hAnsi="Garamond"/>
          <w:color w:val="000000" w:themeColor="text1"/>
          <w:szCs w:val="22"/>
        </w:rPr>
        <w:t xml:space="preserve">At the November Task Force meeting, Chris facilitated the group through a discussion around the MOA Groundrules, perceptions of the violation of those rules, and sustained collaboration during the Comp Plan implementation. This is an ongoing conversation that will continue into 2018. </w:t>
      </w:r>
    </w:p>
    <w:p w:rsidR="0089662A" w:rsidRDefault="0089662A" w:rsidP="00AB301C">
      <w:pPr>
        <w:pStyle w:val="BodyText"/>
        <w:numPr>
          <w:ilvl w:val="1"/>
          <w:numId w:val="27"/>
        </w:numPr>
        <w:rPr>
          <w:rFonts w:ascii="Garamond" w:hAnsi="Garamond"/>
          <w:color w:val="000000" w:themeColor="text1"/>
          <w:szCs w:val="22"/>
        </w:rPr>
      </w:pPr>
      <w:r>
        <w:rPr>
          <w:rFonts w:ascii="Garamond" w:hAnsi="Garamond"/>
          <w:color w:val="000000" w:themeColor="text1"/>
          <w:szCs w:val="22"/>
        </w:rPr>
        <w:t>Process: The Center facilitated the Task Force through a discussion of Task Force meeting process: The group agreed to make the following changes:</w:t>
      </w:r>
    </w:p>
    <w:p w:rsidR="0089662A" w:rsidRPr="0089662A" w:rsidRDefault="0089662A" w:rsidP="0089662A">
      <w:pPr>
        <w:pStyle w:val="BodyText"/>
        <w:numPr>
          <w:ilvl w:val="2"/>
          <w:numId w:val="27"/>
        </w:numPr>
        <w:ind w:left="1440"/>
        <w:rPr>
          <w:rFonts w:ascii="Garamond" w:hAnsi="Garamond"/>
          <w:color w:val="000000" w:themeColor="text1"/>
          <w:szCs w:val="22"/>
        </w:rPr>
      </w:pPr>
      <w:r w:rsidRPr="0089662A">
        <w:rPr>
          <w:rFonts w:ascii="Garamond" w:hAnsi="Garamond"/>
          <w:color w:val="000000" w:themeColor="text1"/>
          <w:szCs w:val="22"/>
        </w:rPr>
        <w:t xml:space="preserve">Start </w:t>
      </w:r>
      <w:r>
        <w:rPr>
          <w:rFonts w:ascii="Garamond" w:hAnsi="Garamond"/>
          <w:color w:val="000000" w:themeColor="text1"/>
          <w:szCs w:val="22"/>
        </w:rPr>
        <w:t xml:space="preserve">full </w:t>
      </w:r>
      <w:r w:rsidRPr="0089662A">
        <w:rPr>
          <w:rFonts w:ascii="Garamond" w:hAnsi="Garamond"/>
          <w:color w:val="000000" w:themeColor="text1"/>
          <w:szCs w:val="22"/>
        </w:rPr>
        <w:t>Force</w:t>
      </w:r>
      <w:r w:rsidRPr="0089662A">
        <w:rPr>
          <w:rFonts w:ascii="Garamond" w:hAnsi="Garamond"/>
          <w:color w:val="000000" w:themeColor="text1"/>
          <w:szCs w:val="22"/>
        </w:rPr>
        <w:t xml:space="preserve"> meetings at 8:30 am and end at or before noon.</w:t>
      </w:r>
    </w:p>
    <w:p w:rsidR="0089662A" w:rsidRPr="0089662A" w:rsidRDefault="0089662A" w:rsidP="0089662A">
      <w:pPr>
        <w:pStyle w:val="BodyText"/>
        <w:numPr>
          <w:ilvl w:val="2"/>
          <w:numId w:val="27"/>
        </w:numPr>
        <w:ind w:left="1440"/>
        <w:rPr>
          <w:rFonts w:ascii="Garamond" w:hAnsi="Garamond"/>
          <w:color w:val="000000" w:themeColor="text1"/>
          <w:szCs w:val="22"/>
        </w:rPr>
      </w:pPr>
      <w:r w:rsidRPr="0089662A">
        <w:rPr>
          <w:rFonts w:ascii="Garamond" w:hAnsi="Garamond"/>
          <w:color w:val="000000" w:themeColor="text1"/>
          <w:szCs w:val="22"/>
        </w:rPr>
        <w:lastRenderedPageBreak/>
        <w:t>Structure and align agendas with 1-year, 6-month, 3-month goals. Agenda items to have a specific purpose and outcome.</w:t>
      </w:r>
    </w:p>
    <w:p w:rsidR="0089662A" w:rsidRPr="0089662A" w:rsidRDefault="0089662A" w:rsidP="0089662A">
      <w:pPr>
        <w:pStyle w:val="BodyText"/>
        <w:numPr>
          <w:ilvl w:val="2"/>
          <w:numId w:val="27"/>
        </w:numPr>
        <w:ind w:left="1440"/>
        <w:rPr>
          <w:rFonts w:ascii="Garamond" w:hAnsi="Garamond"/>
          <w:color w:val="000000" w:themeColor="text1"/>
          <w:szCs w:val="22"/>
        </w:rPr>
      </w:pPr>
      <w:r w:rsidRPr="0089662A">
        <w:rPr>
          <w:rFonts w:ascii="Garamond" w:hAnsi="Garamond"/>
          <w:color w:val="000000" w:themeColor="text1"/>
          <w:szCs w:val="22"/>
        </w:rPr>
        <w:t>Presentations at meetings to be vetted for their direct or indirect usefulness for advancing the goals of the Task Force and will be followed by enough time to work through takeaways for the Spokane River system.</w:t>
      </w:r>
    </w:p>
    <w:p w:rsidR="00085CE1" w:rsidRPr="00A0780C" w:rsidRDefault="00085CE1" w:rsidP="0084264E">
      <w:pPr>
        <w:ind w:left="360"/>
        <w:rPr>
          <w:rFonts w:ascii="Garamond" w:hAnsi="Garamond"/>
          <w:sz w:val="22"/>
          <w:szCs w:val="22"/>
        </w:rPr>
      </w:pPr>
    </w:p>
    <w:p w:rsidR="00AD50D3" w:rsidRPr="00A0780C" w:rsidRDefault="00DD50C6" w:rsidP="0084264E">
      <w:pPr>
        <w:rPr>
          <w:rFonts w:ascii="Garamond" w:hAnsi="Garamond"/>
          <w:b/>
          <w:sz w:val="22"/>
          <w:szCs w:val="22"/>
        </w:rPr>
      </w:pPr>
      <w:r w:rsidRPr="00A0780C">
        <w:rPr>
          <w:rFonts w:ascii="Garamond" w:hAnsi="Garamond"/>
          <w:b/>
          <w:sz w:val="22"/>
          <w:szCs w:val="22"/>
        </w:rPr>
        <w:t xml:space="preserve">Upcoming </w:t>
      </w:r>
      <w:r w:rsidR="00983D52" w:rsidRPr="00A0780C">
        <w:rPr>
          <w:rFonts w:ascii="Garamond" w:hAnsi="Garamond"/>
          <w:b/>
          <w:sz w:val="22"/>
          <w:szCs w:val="22"/>
        </w:rPr>
        <w:t>Center work with Task Force members and Work Groups</w:t>
      </w:r>
      <w:r w:rsidR="00AD50D3" w:rsidRPr="00A0780C">
        <w:rPr>
          <w:rFonts w:ascii="Garamond" w:hAnsi="Garamond"/>
          <w:b/>
          <w:sz w:val="22"/>
          <w:szCs w:val="22"/>
        </w:rPr>
        <w:t>:</w:t>
      </w:r>
    </w:p>
    <w:p w:rsidR="00C42F52" w:rsidRPr="009D3728" w:rsidRDefault="00C42F52" w:rsidP="00C42F52">
      <w:pPr>
        <w:pStyle w:val="ListParagraph"/>
        <w:widowControl w:val="0"/>
        <w:numPr>
          <w:ilvl w:val="0"/>
          <w:numId w:val="13"/>
        </w:numPr>
        <w:contextualSpacing w:val="0"/>
        <w:jc w:val="both"/>
        <w:rPr>
          <w:rFonts w:ascii="Garamond" w:eastAsia="Garamond" w:hAnsi="Garamond" w:cs="Garamond"/>
        </w:rPr>
      </w:pPr>
      <w:r w:rsidRPr="00A0780C">
        <w:rPr>
          <w:rFonts w:ascii="Garamond" w:hAnsi="Garamond"/>
        </w:rPr>
        <w:t>The Center will facilitate and coordinate meetings of the Task Force and its work groups, as well as to identify opportunities for university research and expertise</w:t>
      </w:r>
      <w:r w:rsidRPr="00A0780C">
        <w:rPr>
          <w:rFonts w:ascii="Garamond" w:hAnsi="Garamond"/>
          <w:spacing w:val="-34"/>
        </w:rPr>
        <w:t xml:space="preserve"> </w:t>
      </w:r>
      <w:r w:rsidRPr="00A0780C">
        <w:rPr>
          <w:rFonts w:ascii="Garamond" w:hAnsi="Garamond"/>
        </w:rPr>
        <w:t>to inform outreach and public education and the process of reducing toxins in the</w:t>
      </w:r>
      <w:r w:rsidRPr="00A0780C">
        <w:rPr>
          <w:rFonts w:ascii="Garamond" w:hAnsi="Garamond"/>
          <w:spacing w:val="-34"/>
        </w:rPr>
        <w:t xml:space="preserve"> </w:t>
      </w:r>
      <w:r w:rsidRPr="00A0780C">
        <w:rPr>
          <w:rFonts w:ascii="Garamond" w:hAnsi="Garamond"/>
        </w:rPr>
        <w:t>River</w:t>
      </w:r>
      <w:r w:rsidR="00A42CA6" w:rsidRPr="00A0780C">
        <w:rPr>
          <w:rFonts w:ascii="Garamond" w:hAnsi="Garamond"/>
        </w:rPr>
        <w:t>, at least through June 30, 201</w:t>
      </w:r>
      <w:r w:rsidR="0089662A">
        <w:rPr>
          <w:rFonts w:ascii="Garamond" w:hAnsi="Garamond"/>
        </w:rPr>
        <w:t>8</w:t>
      </w:r>
      <w:r w:rsidRPr="00A0780C">
        <w:rPr>
          <w:rFonts w:ascii="Garamond" w:hAnsi="Garamond"/>
        </w:rPr>
        <w:t>.</w:t>
      </w:r>
    </w:p>
    <w:p w:rsidR="009D3728" w:rsidRPr="00FE1CF3" w:rsidRDefault="009D3728" w:rsidP="00C42F52">
      <w:pPr>
        <w:pStyle w:val="ListParagraph"/>
        <w:widowControl w:val="0"/>
        <w:numPr>
          <w:ilvl w:val="0"/>
          <w:numId w:val="13"/>
        </w:numPr>
        <w:contextualSpacing w:val="0"/>
        <w:jc w:val="both"/>
        <w:rPr>
          <w:rFonts w:ascii="Garamond" w:eastAsia="Garamond" w:hAnsi="Garamond" w:cs="Garamond"/>
        </w:rPr>
      </w:pPr>
      <w:r>
        <w:rPr>
          <w:rFonts w:ascii="Garamond" w:hAnsi="Garamond"/>
        </w:rPr>
        <w:t xml:space="preserve">The Center will </w:t>
      </w:r>
      <w:r w:rsidR="00851836">
        <w:rPr>
          <w:rFonts w:ascii="Garamond" w:hAnsi="Garamond"/>
        </w:rPr>
        <w:t xml:space="preserve">continue to </w:t>
      </w:r>
      <w:r>
        <w:rPr>
          <w:rFonts w:ascii="Garamond" w:hAnsi="Garamond"/>
        </w:rPr>
        <w:t>assist in</w:t>
      </w:r>
      <w:r w:rsidR="00851836">
        <w:rPr>
          <w:rFonts w:ascii="Garamond" w:hAnsi="Garamond"/>
        </w:rPr>
        <w:t xml:space="preserve"> identifying and</w:t>
      </w:r>
      <w:r>
        <w:rPr>
          <w:rFonts w:ascii="Garamond" w:hAnsi="Garamond"/>
        </w:rPr>
        <w:t xml:space="preserve"> scheduling presentations</w:t>
      </w:r>
      <w:r w:rsidR="00851836">
        <w:rPr>
          <w:rFonts w:ascii="Garamond" w:hAnsi="Garamond"/>
        </w:rPr>
        <w:t xml:space="preserve"> on topics of Task Force interest</w:t>
      </w:r>
      <w:r>
        <w:rPr>
          <w:rFonts w:ascii="Garamond" w:hAnsi="Garamond"/>
        </w:rPr>
        <w:t xml:space="preserve"> by the Environmental Assessment Program, Representatives from the Duwamish River PCB Cleanup, and other </w:t>
      </w:r>
      <w:r w:rsidR="00851836">
        <w:rPr>
          <w:rFonts w:ascii="Garamond" w:hAnsi="Garamond"/>
        </w:rPr>
        <w:t xml:space="preserve">groups. </w:t>
      </w:r>
    </w:p>
    <w:p w:rsidR="00FE1CF3" w:rsidRPr="00A0780C" w:rsidRDefault="00FE1CF3" w:rsidP="00C42F52">
      <w:pPr>
        <w:pStyle w:val="ListParagraph"/>
        <w:widowControl w:val="0"/>
        <w:numPr>
          <w:ilvl w:val="0"/>
          <w:numId w:val="13"/>
        </w:numPr>
        <w:contextualSpacing w:val="0"/>
        <w:jc w:val="both"/>
        <w:rPr>
          <w:rFonts w:ascii="Garamond" w:eastAsia="Garamond" w:hAnsi="Garamond" w:cs="Garamond"/>
        </w:rPr>
      </w:pPr>
      <w:r>
        <w:rPr>
          <w:rFonts w:ascii="Garamond" w:hAnsi="Garamond"/>
        </w:rPr>
        <w:t xml:space="preserve">The Center will facilitate the Task Force through identification and prioritization of future sampling needed to monitor the success of the Comprehensive </w:t>
      </w:r>
      <w:r w:rsidR="00AA6F85">
        <w:rPr>
          <w:rFonts w:ascii="Garamond" w:hAnsi="Garamond"/>
        </w:rPr>
        <w:t>Plan.</w:t>
      </w:r>
    </w:p>
    <w:p w:rsidR="0058163E" w:rsidRPr="00A0780C" w:rsidRDefault="00285244" w:rsidP="0084264E">
      <w:pPr>
        <w:numPr>
          <w:ilvl w:val="0"/>
          <w:numId w:val="13"/>
        </w:numPr>
        <w:rPr>
          <w:rFonts w:ascii="Garamond" w:hAnsi="Garamond"/>
          <w:sz w:val="22"/>
          <w:szCs w:val="22"/>
        </w:rPr>
      </w:pPr>
      <w:r w:rsidRPr="00A0780C">
        <w:rPr>
          <w:rFonts w:ascii="Garamond" w:hAnsi="Garamond"/>
          <w:sz w:val="22"/>
          <w:szCs w:val="22"/>
        </w:rPr>
        <w:t xml:space="preserve">The Task Force and </w:t>
      </w:r>
      <w:r w:rsidR="0058163E" w:rsidRPr="00A0780C">
        <w:rPr>
          <w:rFonts w:ascii="Garamond" w:hAnsi="Garamond"/>
          <w:sz w:val="22"/>
          <w:szCs w:val="22"/>
        </w:rPr>
        <w:t>work groups will conti</w:t>
      </w:r>
      <w:r w:rsidR="00655074" w:rsidRPr="00A0780C">
        <w:rPr>
          <w:rFonts w:ascii="Garamond" w:hAnsi="Garamond"/>
          <w:sz w:val="22"/>
          <w:szCs w:val="22"/>
        </w:rPr>
        <w:t>nue to meet on a monthly basis</w:t>
      </w:r>
      <w:bookmarkStart w:id="3" w:name="_GoBack"/>
      <w:bookmarkEnd w:id="3"/>
      <w:r w:rsidR="00B44A4D" w:rsidRPr="00A0780C">
        <w:rPr>
          <w:rFonts w:ascii="Garamond" w:hAnsi="Garamond"/>
          <w:sz w:val="22"/>
          <w:szCs w:val="22"/>
        </w:rPr>
        <w:t>.</w:t>
      </w:r>
    </w:p>
    <w:p w:rsidR="00494B38" w:rsidRPr="00A0780C" w:rsidRDefault="00346C63" w:rsidP="0084264E">
      <w:pPr>
        <w:numPr>
          <w:ilvl w:val="0"/>
          <w:numId w:val="13"/>
        </w:numPr>
        <w:rPr>
          <w:rFonts w:ascii="Garamond" w:hAnsi="Garamond"/>
          <w:sz w:val="22"/>
          <w:szCs w:val="22"/>
        </w:rPr>
      </w:pPr>
      <w:r w:rsidRPr="00A0780C">
        <w:rPr>
          <w:rFonts w:ascii="Garamond" w:hAnsi="Garamond"/>
          <w:sz w:val="22"/>
          <w:szCs w:val="22"/>
        </w:rPr>
        <w:t xml:space="preserve">The Task Force will continue to work with the </w:t>
      </w:r>
      <w:r w:rsidR="00AB6174" w:rsidRPr="00A0780C">
        <w:rPr>
          <w:rFonts w:ascii="Garamond" w:hAnsi="Garamond"/>
          <w:sz w:val="22"/>
          <w:szCs w:val="22"/>
        </w:rPr>
        <w:t>Technical Consultant</w:t>
      </w:r>
      <w:r w:rsidRPr="00A0780C">
        <w:rPr>
          <w:rFonts w:ascii="Garamond" w:hAnsi="Garamond"/>
          <w:sz w:val="22"/>
          <w:szCs w:val="22"/>
        </w:rPr>
        <w:t xml:space="preserve"> on</w:t>
      </w:r>
      <w:r w:rsidR="00285244" w:rsidRPr="00A0780C">
        <w:rPr>
          <w:rFonts w:ascii="Garamond" w:hAnsi="Garamond"/>
          <w:sz w:val="22"/>
          <w:szCs w:val="22"/>
        </w:rPr>
        <w:t xml:space="preserve"> completing assigned Tasks</w:t>
      </w:r>
      <w:r w:rsidR="00D507CC" w:rsidRPr="00A0780C">
        <w:rPr>
          <w:rFonts w:ascii="Garamond" w:hAnsi="Garamond"/>
          <w:sz w:val="22"/>
          <w:szCs w:val="22"/>
        </w:rPr>
        <w:t xml:space="preserve"> as well as on </w:t>
      </w:r>
      <w:r w:rsidR="000B5123" w:rsidRPr="00A0780C">
        <w:rPr>
          <w:rFonts w:ascii="Garamond" w:hAnsi="Garamond"/>
          <w:sz w:val="22"/>
          <w:szCs w:val="22"/>
        </w:rPr>
        <w:t>any future work that the Task Force will complete in the implementation phase of the Comprehensive Plan.</w:t>
      </w:r>
    </w:p>
    <w:p w:rsidR="00A40361" w:rsidRPr="00A0780C" w:rsidRDefault="00A40361" w:rsidP="0084264E">
      <w:pPr>
        <w:numPr>
          <w:ilvl w:val="0"/>
          <w:numId w:val="13"/>
        </w:numPr>
        <w:rPr>
          <w:rFonts w:ascii="Garamond" w:hAnsi="Garamond"/>
          <w:sz w:val="22"/>
          <w:szCs w:val="22"/>
        </w:rPr>
      </w:pPr>
      <w:r w:rsidRPr="00A0780C">
        <w:rPr>
          <w:rFonts w:ascii="Garamond" w:hAnsi="Garamond"/>
          <w:sz w:val="22"/>
          <w:szCs w:val="22"/>
        </w:rPr>
        <w:t xml:space="preserve">The </w:t>
      </w:r>
      <w:r w:rsidR="00792174" w:rsidRPr="00A0780C">
        <w:rPr>
          <w:rFonts w:ascii="Garamond" w:hAnsi="Garamond"/>
          <w:sz w:val="22"/>
          <w:szCs w:val="22"/>
        </w:rPr>
        <w:t>C</w:t>
      </w:r>
      <w:r w:rsidRPr="00A0780C">
        <w:rPr>
          <w:rFonts w:ascii="Garamond" w:hAnsi="Garamond"/>
          <w:sz w:val="22"/>
          <w:szCs w:val="22"/>
        </w:rPr>
        <w:t xml:space="preserve">enter will </w:t>
      </w:r>
      <w:r w:rsidR="006C6E07" w:rsidRPr="00A0780C">
        <w:rPr>
          <w:rFonts w:ascii="Garamond" w:hAnsi="Garamond"/>
          <w:sz w:val="22"/>
          <w:szCs w:val="22"/>
        </w:rPr>
        <w:t xml:space="preserve">continue to provide support for </w:t>
      </w:r>
      <w:r w:rsidRPr="00A0780C">
        <w:rPr>
          <w:rFonts w:ascii="Garamond" w:hAnsi="Garamond"/>
          <w:sz w:val="22"/>
          <w:szCs w:val="22"/>
        </w:rPr>
        <w:t xml:space="preserve">Task Force </w:t>
      </w:r>
      <w:r w:rsidR="0084264E" w:rsidRPr="00A0780C">
        <w:rPr>
          <w:rFonts w:ascii="Garamond" w:hAnsi="Garamond"/>
          <w:sz w:val="22"/>
          <w:szCs w:val="22"/>
        </w:rPr>
        <w:t>ad-hoc work groups</w:t>
      </w:r>
      <w:r w:rsidR="00D11192">
        <w:rPr>
          <w:rFonts w:ascii="Garamond" w:hAnsi="Garamond"/>
          <w:sz w:val="22"/>
          <w:szCs w:val="22"/>
        </w:rPr>
        <w:t xml:space="preserve"> as they </w:t>
      </w:r>
      <w:r w:rsidR="003E13C1">
        <w:rPr>
          <w:rFonts w:ascii="Garamond" w:hAnsi="Garamond"/>
          <w:sz w:val="22"/>
          <w:szCs w:val="22"/>
        </w:rPr>
        <w:t xml:space="preserve">implement </w:t>
      </w:r>
      <w:r w:rsidR="000B5123" w:rsidRPr="00A0780C">
        <w:rPr>
          <w:rFonts w:ascii="Garamond" w:hAnsi="Garamond"/>
          <w:sz w:val="22"/>
          <w:szCs w:val="22"/>
        </w:rPr>
        <w:t xml:space="preserve">work </w:t>
      </w:r>
      <w:r w:rsidR="00903392" w:rsidRPr="00A0780C">
        <w:rPr>
          <w:rFonts w:ascii="Garamond" w:hAnsi="Garamond"/>
          <w:sz w:val="22"/>
          <w:szCs w:val="22"/>
        </w:rPr>
        <w:t>plans (</w:t>
      </w:r>
      <w:r w:rsidR="003E13C1">
        <w:rPr>
          <w:rFonts w:ascii="Garamond" w:hAnsi="Garamond"/>
          <w:sz w:val="22"/>
          <w:szCs w:val="22"/>
        </w:rPr>
        <w:t xml:space="preserve">Comp plan work groups, </w:t>
      </w:r>
      <w:r w:rsidR="0084264E" w:rsidRPr="00A0780C">
        <w:rPr>
          <w:rFonts w:ascii="Garamond" w:hAnsi="Garamond"/>
          <w:sz w:val="22"/>
          <w:szCs w:val="22"/>
        </w:rPr>
        <w:t>e</w:t>
      </w:r>
      <w:r w:rsidRPr="00A0780C">
        <w:rPr>
          <w:rFonts w:ascii="Garamond" w:hAnsi="Garamond"/>
          <w:sz w:val="22"/>
          <w:szCs w:val="22"/>
        </w:rPr>
        <w:t xml:space="preserve">ducation and </w:t>
      </w:r>
      <w:r w:rsidR="0084264E" w:rsidRPr="00A0780C">
        <w:rPr>
          <w:rFonts w:ascii="Garamond" w:hAnsi="Garamond"/>
          <w:sz w:val="22"/>
          <w:szCs w:val="22"/>
        </w:rPr>
        <w:t>o</w:t>
      </w:r>
      <w:r w:rsidRPr="00A0780C">
        <w:rPr>
          <w:rFonts w:ascii="Garamond" w:hAnsi="Garamond"/>
          <w:sz w:val="22"/>
          <w:szCs w:val="22"/>
        </w:rPr>
        <w:t>utreach</w:t>
      </w:r>
      <w:r w:rsidR="0084264E" w:rsidRPr="00A0780C">
        <w:rPr>
          <w:rFonts w:ascii="Garamond" w:hAnsi="Garamond"/>
          <w:sz w:val="22"/>
          <w:szCs w:val="22"/>
        </w:rPr>
        <w:t xml:space="preserve">, database management, fish and </w:t>
      </w:r>
      <w:r w:rsidR="000C4696" w:rsidRPr="00A0780C">
        <w:rPr>
          <w:rFonts w:ascii="Garamond" w:hAnsi="Garamond"/>
          <w:sz w:val="22"/>
          <w:szCs w:val="22"/>
        </w:rPr>
        <w:t>hatcheries, TSCA</w:t>
      </w:r>
      <w:r w:rsidR="000B5123" w:rsidRPr="00A0780C">
        <w:rPr>
          <w:rFonts w:ascii="Garamond" w:hAnsi="Garamond"/>
          <w:sz w:val="22"/>
          <w:szCs w:val="22"/>
        </w:rPr>
        <w:t xml:space="preserve">, </w:t>
      </w:r>
      <w:r w:rsidR="00C11F8A" w:rsidRPr="00A0780C">
        <w:rPr>
          <w:rFonts w:ascii="Garamond" w:hAnsi="Garamond"/>
          <w:sz w:val="22"/>
          <w:szCs w:val="22"/>
        </w:rPr>
        <w:t>etc.</w:t>
      </w:r>
      <w:r w:rsidR="00B94E5C" w:rsidRPr="00A0780C">
        <w:rPr>
          <w:rFonts w:ascii="Garamond" w:hAnsi="Garamond"/>
          <w:sz w:val="22"/>
          <w:szCs w:val="22"/>
        </w:rPr>
        <w:t>) as needed.</w:t>
      </w:r>
    </w:p>
    <w:p w:rsidR="00494B38" w:rsidRPr="00A0780C" w:rsidRDefault="00B94E5C" w:rsidP="0084264E">
      <w:pPr>
        <w:numPr>
          <w:ilvl w:val="0"/>
          <w:numId w:val="13"/>
        </w:numPr>
        <w:rPr>
          <w:rFonts w:ascii="Garamond" w:hAnsi="Garamond"/>
          <w:sz w:val="22"/>
          <w:szCs w:val="22"/>
        </w:rPr>
      </w:pPr>
      <w:r w:rsidRPr="00A0780C">
        <w:rPr>
          <w:rFonts w:ascii="Garamond" w:hAnsi="Garamond"/>
          <w:sz w:val="22"/>
          <w:szCs w:val="22"/>
        </w:rPr>
        <w:t xml:space="preserve">The Center will facilitate the </w:t>
      </w:r>
      <w:r w:rsidR="00DD6220" w:rsidRPr="00A0780C">
        <w:rPr>
          <w:rFonts w:ascii="Garamond" w:hAnsi="Garamond"/>
          <w:sz w:val="22"/>
          <w:szCs w:val="22"/>
        </w:rPr>
        <w:t>Task Force</w:t>
      </w:r>
      <w:r w:rsidRPr="00A0780C">
        <w:rPr>
          <w:rFonts w:ascii="Garamond" w:hAnsi="Garamond"/>
          <w:sz w:val="22"/>
          <w:szCs w:val="22"/>
        </w:rPr>
        <w:t xml:space="preserve">’s process of </w:t>
      </w:r>
      <w:r w:rsidR="00C11F8A" w:rsidRPr="00A0780C">
        <w:rPr>
          <w:rFonts w:ascii="Garamond" w:hAnsi="Garamond"/>
          <w:sz w:val="22"/>
          <w:szCs w:val="22"/>
        </w:rPr>
        <w:t xml:space="preserve">considering the addition of </w:t>
      </w:r>
      <w:r w:rsidRPr="00A0780C">
        <w:rPr>
          <w:rFonts w:ascii="Garamond" w:hAnsi="Garamond"/>
          <w:sz w:val="22"/>
          <w:szCs w:val="22"/>
        </w:rPr>
        <w:t>new members along with</w:t>
      </w:r>
      <w:r w:rsidR="006A71BB" w:rsidRPr="00A0780C">
        <w:rPr>
          <w:rFonts w:ascii="Garamond" w:hAnsi="Garamond"/>
          <w:sz w:val="22"/>
          <w:szCs w:val="22"/>
        </w:rPr>
        <w:t xml:space="preserve"> agreement on</w:t>
      </w:r>
      <w:r w:rsidR="00C11F8A" w:rsidRPr="00A0780C">
        <w:rPr>
          <w:rFonts w:ascii="Garamond" w:hAnsi="Garamond"/>
          <w:sz w:val="22"/>
          <w:szCs w:val="22"/>
        </w:rPr>
        <w:t xml:space="preserve"> any further</w:t>
      </w:r>
      <w:r w:rsidR="006A71BB" w:rsidRPr="00A0780C">
        <w:rPr>
          <w:rFonts w:ascii="Garamond" w:hAnsi="Garamond"/>
          <w:sz w:val="22"/>
          <w:szCs w:val="22"/>
        </w:rPr>
        <w:t xml:space="preserve"> needed changes to the group’s </w:t>
      </w:r>
      <w:r w:rsidR="0054266D" w:rsidRPr="00A0780C">
        <w:rPr>
          <w:rFonts w:ascii="Garamond" w:hAnsi="Garamond"/>
          <w:sz w:val="22"/>
          <w:szCs w:val="22"/>
        </w:rPr>
        <w:t>M</w:t>
      </w:r>
      <w:r w:rsidRPr="00A0780C">
        <w:rPr>
          <w:rFonts w:ascii="Garamond" w:hAnsi="Garamond"/>
          <w:sz w:val="22"/>
          <w:szCs w:val="22"/>
        </w:rPr>
        <w:t xml:space="preserve">emorandum of </w:t>
      </w:r>
      <w:r w:rsidR="0054266D" w:rsidRPr="00A0780C">
        <w:rPr>
          <w:rFonts w:ascii="Garamond" w:hAnsi="Garamond"/>
          <w:sz w:val="22"/>
          <w:szCs w:val="22"/>
        </w:rPr>
        <w:t>A</w:t>
      </w:r>
      <w:r w:rsidRPr="00A0780C">
        <w:rPr>
          <w:rFonts w:ascii="Garamond" w:hAnsi="Garamond"/>
          <w:sz w:val="22"/>
          <w:szCs w:val="22"/>
        </w:rPr>
        <w:t>greement (MOA) if that becomes necessary</w:t>
      </w:r>
      <w:r w:rsidR="006A71BB" w:rsidRPr="00A0780C">
        <w:rPr>
          <w:rFonts w:ascii="Garamond" w:hAnsi="Garamond"/>
          <w:sz w:val="22"/>
          <w:szCs w:val="22"/>
        </w:rPr>
        <w:t>.</w:t>
      </w:r>
      <w:r w:rsidR="00792174" w:rsidRPr="00A0780C">
        <w:rPr>
          <w:rFonts w:ascii="Garamond" w:hAnsi="Garamond"/>
          <w:sz w:val="22"/>
          <w:szCs w:val="22"/>
        </w:rPr>
        <w:t xml:space="preserve"> The Center w</w:t>
      </w:r>
      <w:r w:rsidRPr="00A0780C">
        <w:rPr>
          <w:rFonts w:ascii="Garamond" w:hAnsi="Garamond"/>
          <w:sz w:val="22"/>
          <w:szCs w:val="22"/>
        </w:rPr>
        <w:t>ou</w:t>
      </w:r>
      <w:r w:rsidR="00792174" w:rsidRPr="00A0780C">
        <w:rPr>
          <w:rFonts w:ascii="Garamond" w:hAnsi="Garamond"/>
          <w:sz w:val="22"/>
          <w:szCs w:val="22"/>
        </w:rPr>
        <w:t>l</w:t>
      </w:r>
      <w:r w:rsidRPr="00A0780C">
        <w:rPr>
          <w:rFonts w:ascii="Garamond" w:hAnsi="Garamond"/>
          <w:sz w:val="22"/>
          <w:szCs w:val="22"/>
        </w:rPr>
        <w:t>d</w:t>
      </w:r>
      <w:r w:rsidR="00792174" w:rsidRPr="00A0780C">
        <w:rPr>
          <w:rFonts w:ascii="Garamond" w:hAnsi="Garamond"/>
          <w:sz w:val="22"/>
          <w:szCs w:val="22"/>
        </w:rPr>
        <w:t xml:space="preserve"> also assist in inviting new parties as identified by the Tas</w:t>
      </w:r>
      <w:r w:rsidR="00AD27F5" w:rsidRPr="00A0780C">
        <w:rPr>
          <w:rFonts w:ascii="Garamond" w:hAnsi="Garamond"/>
          <w:sz w:val="22"/>
          <w:szCs w:val="22"/>
        </w:rPr>
        <w:t>k Force after MOA legal review.</w:t>
      </w:r>
    </w:p>
    <w:p w:rsidR="00F758EB" w:rsidRPr="00A0780C" w:rsidRDefault="00263157" w:rsidP="0084264E">
      <w:pPr>
        <w:numPr>
          <w:ilvl w:val="0"/>
          <w:numId w:val="13"/>
        </w:numPr>
        <w:rPr>
          <w:rFonts w:ascii="Garamond" w:hAnsi="Garamond"/>
          <w:sz w:val="22"/>
          <w:szCs w:val="22"/>
        </w:rPr>
      </w:pPr>
      <w:r w:rsidRPr="00A0780C">
        <w:rPr>
          <w:rFonts w:ascii="Garamond" w:hAnsi="Garamond"/>
          <w:sz w:val="22"/>
          <w:szCs w:val="22"/>
        </w:rPr>
        <w:t xml:space="preserve">The </w:t>
      </w:r>
      <w:r w:rsidR="00C11F8A" w:rsidRPr="00A0780C">
        <w:rPr>
          <w:rFonts w:ascii="Garamond" w:hAnsi="Garamond"/>
          <w:sz w:val="22"/>
          <w:szCs w:val="22"/>
        </w:rPr>
        <w:t xml:space="preserve">Center will continue to assist the </w:t>
      </w:r>
      <w:r w:rsidRPr="00A0780C">
        <w:rPr>
          <w:rFonts w:ascii="Garamond" w:hAnsi="Garamond"/>
          <w:sz w:val="22"/>
          <w:szCs w:val="22"/>
        </w:rPr>
        <w:t xml:space="preserve">Task Force </w:t>
      </w:r>
      <w:r w:rsidR="00C11F8A" w:rsidRPr="00A0780C">
        <w:rPr>
          <w:rFonts w:ascii="Garamond" w:hAnsi="Garamond"/>
          <w:sz w:val="22"/>
          <w:szCs w:val="22"/>
        </w:rPr>
        <w:t>as it documents activities and develops</w:t>
      </w:r>
      <w:r w:rsidRPr="00A0780C">
        <w:rPr>
          <w:rFonts w:ascii="Garamond" w:hAnsi="Garamond"/>
          <w:sz w:val="22"/>
          <w:szCs w:val="22"/>
        </w:rPr>
        <w:t xml:space="preserve"> and i</w:t>
      </w:r>
      <w:r w:rsidR="00AD27F5" w:rsidRPr="00A0780C">
        <w:rPr>
          <w:rFonts w:ascii="Garamond" w:hAnsi="Garamond"/>
          <w:sz w:val="22"/>
          <w:szCs w:val="22"/>
        </w:rPr>
        <w:t>mplements</w:t>
      </w:r>
      <w:r w:rsidR="0081499F" w:rsidRPr="00A0780C">
        <w:rPr>
          <w:rFonts w:ascii="Garamond" w:hAnsi="Garamond"/>
          <w:sz w:val="22"/>
          <w:szCs w:val="22"/>
        </w:rPr>
        <w:t xml:space="preserve"> a communication strategy.</w:t>
      </w:r>
    </w:p>
    <w:p w:rsidR="00D11192" w:rsidRDefault="00D11192" w:rsidP="0084264E">
      <w:pPr>
        <w:pStyle w:val="NormalWeb"/>
        <w:spacing w:before="0" w:beforeAutospacing="0" w:after="0" w:afterAutospacing="0"/>
        <w:rPr>
          <w:rStyle w:val="Strong"/>
          <w:rFonts w:ascii="Garamond" w:hAnsi="Garamond"/>
          <w:sz w:val="22"/>
          <w:szCs w:val="22"/>
        </w:rPr>
      </w:pPr>
    </w:p>
    <w:p w:rsidR="000D35D0" w:rsidRPr="00A0780C" w:rsidRDefault="000D35D0" w:rsidP="0084264E">
      <w:pPr>
        <w:pStyle w:val="NormalWeb"/>
        <w:spacing w:before="0" w:beforeAutospacing="0" w:after="0" w:afterAutospacing="0"/>
        <w:rPr>
          <w:rFonts w:ascii="Garamond" w:hAnsi="Garamond"/>
          <w:sz w:val="22"/>
          <w:szCs w:val="22"/>
        </w:rPr>
      </w:pPr>
      <w:r w:rsidRPr="00A0780C">
        <w:rPr>
          <w:rStyle w:val="Strong"/>
          <w:rFonts w:ascii="Garamond" w:hAnsi="Garamond"/>
          <w:sz w:val="22"/>
          <w:szCs w:val="22"/>
        </w:rPr>
        <w:t>The William D. Ruckelshaus Center</w:t>
      </w:r>
      <w:r w:rsidRPr="00A0780C">
        <w:rPr>
          <w:rFonts w:ascii="Garamond" w:hAnsi="Garamond"/>
          <w:sz w:val="22"/>
          <w:szCs w:val="22"/>
        </w:rPr>
        <w:t xml:space="preserve"> </w:t>
      </w:r>
    </w:p>
    <w:p w:rsidR="000D35D0" w:rsidRPr="00A0780C" w:rsidRDefault="000D35D0" w:rsidP="0084264E">
      <w:pPr>
        <w:pStyle w:val="NormalWeb"/>
        <w:spacing w:before="0" w:beforeAutospacing="0" w:after="0" w:afterAutospacing="0"/>
        <w:rPr>
          <w:rFonts w:ascii="Garamond" w:hAnsi="Garamond"/>
          <w:sz w:val="22"/>
          <w:szCs w:val="22"/>
        </w:rPr>
      </w:pPr>
      <w:r w:rsidRPr="00A0780C">
        <w:rPr>
          <w:rFonts w:ascii="Garamond" w:hAnsi="Garamond"/>
          <w:sz w:val="22"/>
          <w:szCs w:val="22"/>
        </w:rPr>
        <w:t xml:space="preserve">Email: </w:t>
      </w:r>
      <w:hyperlink r:id="rId8" w:history="1">
        <w:r w:rsidRPr="00A0780C">
          <w:rPr>
            <w:rStyle w:val="Hyperlink"/>
            <w:rFonts w:ascii="Garamond" w:hAnsi="Garamond"/>
            <w:sz w:val="22"/>
            <w:szCs w:val="22"/>
          </w:rPr>
          <w:t>ruckelshauscenter@wsu.edu</w:t>
        </w:r>
      </w:hyperlink>
    </w:p>
    <w:p w:rsidR="002D7F0E" w:rsidRPr="00A0780C" w:rsidRDefault="002D7F0E" w:rsidP="0084264E">
      <w:pPr>
        <w:pStyle w:val="NormalWeb"/>
        <w:spacing w:before="0" w:beforeAutospacing="0" w:after="0" w:afterAutospacing="0"/>
        <w:rPr>
          <w:rFonts w:ascii="Garamond" w:hAnsi="Garamond"/>
          <w:sz w:val="22"/>
          <w:szCs w:val="22"/>
        </w:rPr>
        <w:sectPr w:rsidR="002D7F0E" w:rsidRPr="00A0780C" w:rsidSect="0084264E">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titlePg/>
          <w:docGrid w:linePitch="360"/>
        </w:sectPr>
      </w:pPr>
    </w:p>
    <w:p w:rsidR="000D35D0" w:rsidRPr="00A0780C" w:rsidRDefault="000D35D0" w:rsidP="0084264E">
      <w:pPr>
        <w:pStyle w:val="NormalWeb"/>
        <w:spacing w:before="0" w:beforeAutospacing="0" w:after="0" w:afterAutospacing="0"/>
        <w:rPr>
          <w:rFonts w:ascii="Garamond" w:hAnsi="Garamond"/>
          <w:sz w:val="22"/>
          <w:szCs w:val="22"/>
        </w:rPr>
      </w:pPr>
      <w:r w:rsidRPr="00A0780C">
        <w:rPr>
          <w:rStyle w:val="Strong"/>
          <w:rFonts w:ascii="Garamond" w:hAnsi="Garamond"/>
          <w:sz w:val="22"/>
          <w:szCs w:val="22"/>
        </w:rPr>
        <w:t xml:space="preserve">Seattle Office: </w:t>
      </w:r>
      <w:r w:rsidRPr="00A0780C">
        <w:rPr>
          <w:rFonts w:ascii="Garamond" w:hAnsi="Garamond"/>
          <w:b/>
          <w:bCs/>
          <w:sz w:val="22"/>
          <w:szCs w:val="22"/>
        </w:rPr>
        <w:br/>
      </w:r>
      <w:r w:rsidRPr="00A0780C">
        <w:rPr>
          <w:rFonts w:ascii="Garamond" w:hAnsi="Garamond"/>
          <w:sz w:val="22"/>
          <w:szCs w:val="22"/>
        </w:rPr>
        <w:t>901 - 5th Ave</w:t>
      </w:r>
      <w:r w:rsidR="00556337" w:rsidRPr="00A0780C">
        <w:rPr>
          <w:rFonts w:ascii="Garamond" w:hAnsi="Garamond"/>
          <w:sz w:val="22"/>
          <w:szCs w:val="22"/>
        </w:rPr>
        <w:t>nue, Suite 2900</w:t>
      </w:r>
      <w:r w:rsidR="00556337" w:rsidRPr="00A0780C">
        <w:rPr>
          <w:rFonts w:ascii="Garamond" w:hAnsi="Garamond"/>
          <w:sz w:val="22"/>
          <w:szCs w:val="22"/>
        </w:rPr>
        <w:br/>
        <w:t>Seattle, WA 98164</w:t>
      </w:r>
      <w:r w:rsidRPr="00A0780C">
        <w:rPr>
          <w:rFonts w:ascii="Garamond" w:hAnsi="Garamond"/>
          <w:sz w:val="22"/>
          <w:szCs w:val="22"/>
        </w:rPr>
        <w:t>-2040</w:t>
      </w:r>
    </w:p>
    <w:p w:rsidR="000D35D0" w:rsidRPr="00A0780C" w:rsidRDefault="000D35D0" w:rsidP="0084264E">
      <w:pPr>
        <w:pStyle w:val="NormalWeb"/>
        <w:spacing w:before="0" w:beforeAutospacing="0" w:after="0" w:afterAutospacing="0"/>
        <w:rPr>
          <w:rFonts w:ascii="Garamond" w:hAnsi="Garamond"/>
          <w:sz w:val="22"/>
          <w:szCs w:val="22"/>
        </w:rPr>
      </w:pPr>
      <w:r w:rsidRPr="00A0780C">
        <w:rPr>
          <w:rFonts w:ascii="Garamond" w:hAnsi="Garamond"/>
          <w:sz w:val="22"/>
          <w:szCs w:val="22"/>
        </w:rPr>
        <w:t>Phone: (206) 428-3021</w:t>
      </w:r>
      <w:r w:rsidRPr="00A0780C">
        <w:rPr>
          <w:rFonts w:ascii="Garamond" w:hAnsi="Garamond"/>
          <w:sz w:val="22"/>
          <w:szCs w:val="22"/>
        </w:rPr>
        <w:br/>
        <w:t>Fax: (206) 448-1334</w:t>
      </w:r>
    </w:p>
    <w:p w:rsidR="000D35D0" w:rsidRPr="00A0780C" w:rsidRDefault="000D35D0" w:rsidP="0084264E">
      <w:pPr>
        <w:pStyle w:val="NormalWeb"/>
        <w:spacing w:before="0" w:beforeAutospacing="0" w:after="0" w:afterAutospacing="0"/>
        <w:rPr>
          <w:rFonts w:ascii="Garamond" w:hAnsi="Garamond"/>
          <w:sz w:val="22"/>
          <w:szCs w:val="22"/>
        </w:rPr>
      </w:pPr>
      <w:r w:rsidRPr="00A0780C">
        <w:rPr>
          <w:rStyle w:val="Strong"/>
          <w:rFonts w:ascii="Garamond" w:hAnsi="Garamond"/>
          <w:sz w:val="22"/>
          <w:szCs w:val="22"/>
        </w:rPr>
        <w:t xml:space="preserve">Pullman Office: </w:t>
      </w:r>
      <w:r w:rsidRPr="00A0780C">
        <w:rPr>
          <w:rFonts w:ascii="Garamond" w:hAnsi="Garamond"/>
          <w:sz w:val="22"/>
          <w:szCs w:val="22"/>
        </w:rPr>
        <w:br/>
        <w:t xml:space="preserve">P.O. Box 646248 </w:t>
      </w:r>
      <w:r w:rsidRPr="00A0780C">
        <w:rPr>
          <w:rFonts w:ascii="Garamond" w:hAnsi="Garamond"/>
          <w:sz w:val="22"/>
          <w:szCs w:val="22"/>
        </w:rPr>
        <w:br/>
        <w:t xml:space="preserve">Pullman, WA 99164-6248 </w:t>
      </w:r>
    </w:p>
    <w:p w:rsidR="000D35D0" w:rsidRPr="00A0780C" w:rsidRDefault="000D35D0" w:rsidP="0084264E">
      <w:pPr>
        <w:pStyle w:val="NormalWeb"/>
        <w:spacing w:before="0" w:beforeAutospacing="0" w:after="0" w:afterAutospacing="0"/>
        <w:rPr>
          <w:rFonts w:ascii="Garamond" w:hAnsi="Garamond"/>
          <w:sz w:val="22"/>
          <w:szCs w:val="22"/>
        </w:rPr>
      </w:pPr>
      <w:r w:rsidRPr="00A0780C">
        <w:rPr>
          <w:rFonts w:ascii="Garamond" w:hAnsi="Garamond"/>
          <w:sz w:val="22"/>
          <w:szCs w:val="22"/>
        </w:rPr>
        <w:t>Phone: (50</w:t>
      </w:r>
      <w:r w:rsidR="00AB6174" w:rsidRPr="00A0780C">
        <w:rPr>
          <w:rFonts w:ascii="Garamond" w:hAnsi="Garamond"/>
          <w:sz w:val="22"/>
          <w:szCs w:val="22"/>
        </w:rPr>
        <w:t>9) 335-2937</w:t>
      </w:r>
      <w:r w:rsidR="00AB6174" w:rsidRPr="00A0780C">
        <w:rPr>
          <w:rFonts w:ascii="Garamond" w:hAnsi="Garamond"/>
          <w:sz w:val="22"/>
          <w:szCs w:val="22"/>
        </w:rPr>
        <w:br/>
        <w:t>Fax: (509) 335-2926</w:t>
      </w:r>
    </w:p>
    <w:p w:rsidR="002D7F0E" w:rsidRPr="00A0780C" w:rsidRDefault="002D7F0E" w:rsidP="0084264E">
      <w:pPr>
        <w:pStyle w:val="NormalWeb"/>
        <w:spacing w:before="0" w:beforeAutospacing="0" w:after="0" w:afterAutospacing="0"/>
        <w:rPr>
          <w:rFonts w:ascii="Garamond" w:hAnsi="Garamond"/>
          <w:sz w:val="22"/>
          <w:szCs w:val="22"/>
        </w:rPr>
        <w:sectPr w:rsidR="002D7F0E" w:rsidRPr="00A0780C" w:rsidSect="002D7F0E">
          <w:type w:val="continuous"/>
          <w:pgSz w:w="12240" w:h="15840"/>
          <w:pgMar w:top="1440" w:right="1440" w:bottom="1440" w:left="1800" w:header="720" w:footer="720" w:gutter="0"/>
          <w:cols w:num="2" w:space="720"/>
          <w:titlePg/>
          <w:docGrid w:linePitch="360"/>
        </w:sectPr>
      </w:pPr>
    </w:p>
    <w:p w:rsidR="002D7F0E" w:rsidRPr="00A0780C" w:rsidRDefault="002D7F0E" w:rsidP="0084264E">
      <w:pPr>
        <w:pStyle w:val="NormalWeb"/>
        <w:spacing w:before="0" w:beforeAutospacing="0" w:after="0" w:afterAutospacing="0"/>
        <w:rPr>
          <w:rFonts w:ascii="Garamond" w:hAnsi="Garamond"/>
          <w:sz w:val="22"/>
          <w:szCs w:val="22"/>
        </w:rPr>
      </w:pPr>
    </w:p>
    <w:sectPr w:rsidR="002D7F0E" w:rsidRPr="00A0780C" w:rsidSect="000D35D0">
      <w:type w:val="continuous"/>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01C" w:rsidRDefault="00AB301C">
      <w:r>
        <w:separator/>
      </w:r>
    </w:p>
  </w:endnote>
  <w:endnote w:type="continuationSeparator" w:id="0">
    <w:p w:rsidR="00AB301C" w:rsidRDefault="00AB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01C" w:rsidRDefault="00AB3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301C" w:rsidRDefault="00AB3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01C" w:rsidRDefault="00AB301C">
    <w:pPr>
      <w:pStyle w:val="Footer"/>
    </w:pPr>
    <w:r>
      <w:t>Quarterly Report</w:t>
    </w:r>
    <w:r>
      <w:ptab w:relativeTo="margin" w:alignment="center" w:leader="none"/>
    </w:r>
    <w:r>
      <w:t>Prepared by: Kara Whitman</w:t>
    </w:r>
    <w:r>
      <w:ptab w:relativeTo="margin" w:alignment="right" w:leader="none"/>
    </w:r>
    <w:r>
      <w:t xml:space="preserve">Page | </w:t>
    </w:r>
    <w:r>
      <w:fldChar w:fldCharType="begin"/>
    </w:r>
    <w:r>
      <w:instrText xml:space="preserve"> PAGE   \* MERGEFORMAT </w:instrText>
    </w:r>
    <w:r>
      <w:fldChar w:fldCharType="separate"/>
    </w:r>
    <w:r w:rsidR="00344F09">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01C" w:rsidRDefault="00AB301C" w:rsidP="00AB248A">
    <w:pPr>
      <w:pStyle w:val="Footer"/>
      <w:tabs>
        <w:tab w:val="left" w:pos="5310"/>
      </w:tabs>
    </w:pPr>
    <w:r>
      <w:t>Ruckelshaus Center SRRTTF Quarterly Report</w:t>
    </w:r>
    <w:r>
      <w:ptab w:relativeTo="margin" w:alignment="center" w:leader="none"/>
    </w:r>
    <w:r>
      <w:tab/>
      <w:t>Prepared by: Kara Whitman</w:t>
    </w:r>
    <w:r>
      <w:ptab w:relativeTo="margin" w:alignment="right" w:leader="none"/>
    </w:r>
    <w:r>
      <w:t xml:space="preserve">Page | </w:t>
    </w:r>
    <w:r>
      <w:fldChar w:fldCharType="begin"/>
    </w:r>
    <w:r>
      <w:instrText xml:space="preserve"> PAGE   \* MERGEFORMAT </w:instrText>
    </w:r>
    <w:r>
      <w:fldChar w:fldCharType="separate"/>
    </w:r>
    <w:r w:rsidR="00344F0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01C" w:rsidRDefault="00AB301C">
      <w:r>
        <w:separator/>
      </w:r>
    </w:p>
  </w:footnote>
  <w:footnote w:type="continuationSeparator" w:id="0">
    <w:p w:rsidR="00AB301C" w:rsidRDefault="00AB3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01C" w:rsidRPr="0018407D" w:rsidRDefault="00AB301C" w:rsidP="00D743C6">
    <w:pPr>
      <w:pStyle w:val="Header"/>
      <w:jc w:val="center"/>
      <w:rPr>
        <w:i/>
      </w:rPr>
    </w:pPr>
    <w:r>
      <w:rPr>
        <w:noProof/>
      </w:rPr>
      <w:drawing>
        <wp:anchor distT="0" distB="0" distL="114300" distR="114300" simplePos="0" relativeHeight="251662336" behindDoc="0" locked="0" layoutInCell="1" allowOverlap="1">
          <wp:simplePos x="0" y="0"/>
          <wp:positionH relativeFrom="column">
            <wp:posOffset>-306705</wp:posOffset>
          </wp:positionH>
          <wp:positionV relativeFrom="paragraph">
            <wp:posOffset>47625</wp:posOffset>
          </wp:positionV>
          <wp:extent cx="6506845" cy="1209675"/>
          <wp:effectExtent l="0" t="0" r="8255" b="9525"/>
          <wp:wrapSquare wrapText="bothSides"/>
          <wp:docPr id="30" name="Picture 0" descr="Ruck Header.6.19.08 for pr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uck Header.6.19.08 for printi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06845" cy="12096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D28"/>
    <w:multiLevelType w:val="hybridMultilevel"/>
    <w:tmpl w:val="555ACD4C"/>
    <w:lvl w:ilvl="0" w:tplc="B158F5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36BD9"/>
    <w:multiLevelType w:val="hybridMultilevel"/>
    <w:tmpl w:val="4E06C4F6"/>
    <w:lvl w:ilvl="0" w:tplc="CC1271B0">
      <w:start w:val="1"/>
      <w:numFmt w:val="bullet"/>
      <w:lvlText w:val=""/>
      <w:lvlJc w:val="left"/>
      <w:pPr>
        <w:ind w:left="640" w:hanging="360"/>
      </w:pPr>
      <w:rPr>
        <w:rFonts w:ascii="Symbol" w:eastAsia="Symbol" w:hAnsi="Symbol" w:hint="default"/>
        <w:w w:val="100"/>
        <w:sz w:val="24"/>
        <w:szCs w:val="24"/>
      </w:rPr>
    </w:lvl>
    <w:lvl w:ilvl="1" w:tplc="C6CE5886">
      <w:start w:val="1"/>
      <w:numFmt w:val="bullet"/>
      <w:lvlText w:val="•"/>
      <w:lvlJc w:val="left"/>
      <w:pPr>
        <w:ind w:left="1532" w:hanging="360"/>
      </w:pPr>
      <w:rPr>
        <w:rFonts w:hint="default"/>
      </w:rPr>
    </w:lvl>
    <w:lvl w:ilvl="2" w:tplc="65C249EC">
      <w:start w:val="1"/>
      <w:numFmt w:val="bullet"/>
      <w:lvlText w:val="•"/>
      <w:lvlJc w:val="left"/>
      <w:pPr>
        <w:ind w:left="2424" w:hanging="360"/>
      </w:pPr>
      <w:rPr>
        <w:rFonts w:hint="default"/>
      </w:rPr>
    </w:lvl>
    <w:lvl w:ilvl="3" w:tplc="4AA873A4">
      <w:start w:val="1"/>
      <w:numFmt w:val="bullet"/>
      <w:lvlText w:val="•"/>
      <w:lvlJc w:val="left"/>
      <w:pPr>
        <w:ind w:left="3316" w:hanging="360"/>
      </w:pPr>
      <w:rPr>
        <w:rFonts w:hint="default"/>
      </w:rPr>
    </w:lvl>
    <w:lvl w:ilvl="4" w:tplc="CBB45C92">
      <w:start w:val="1"/>
      <w:numFmt w:val="bullet"/>
      <w:lvlText w:val="•"/>
      <w:lvlJc w:val="left"/>
      <w:pPr>
        <w:ind w:left="4208" w:hanging="360"/>
      </w:pPr>
      <w:rPr>
        <w:rFonts w:hint="default"/>
      </w:rPr>
    </w:lvl>
    <w:lvl w:ilvl="5" w:tplc="C5A4D4DE">
      <w:start w:val="1"/>
      <w:numFmt w:val="bullet"/>
      <w:lvlText w:val="•"/>
      <w:lvlJc w:val="left"/>
      <w:pPr>
        <w:ind w:left="5100" w:hanging="360"/>
      </w:pPr>
      <w:rPr>
        <w:rFonts w:hint="default"/>
      </w:rPr>
    </w:lvl>
    <w:lvl w:ilvl="6" w:tplc="F6F4B20C">
      <w:start w:val="1"/>
      <w:numFmt w:val="bullet"/>
      <w:lvlText w:val="•"/>
      <w:lvlJc w:val="left"/>
      <w:pPr>
        <w:ind w:left="5992" w:hanging="360"/>
      </w:pPr>
      <w:rPr>
        <w:rFonts w:hint="default"/>
      </w:rPr>
    </w:lvl>
    <w:lvl w:ilvl="7" w:tplc="177E8FE2">
      <w:start w:val="1"/>
      <w:numFmt w:val="bullet"/>
      <w:lvlText w:val="•"/>
      <w:lvlJc w:val="left"/>
      <w:pPr>
        <w:ind w:left="6884" w:hanging="360"/>
      </w:pPr>
      <w:rPr>
        <w:rFonts w:hint="default"/>
      </w:rPr>
    </w:lvl>
    <w:lvl w:ilvl="8" w:tplc="3346575C">
      <w:start w:val="1"/>
      <w:numFmt w:val="bullet"/>
      <w:lvlText w:val="•"/>
      <w:lvlJc w:val="left"/>
      <w:pPr>
        <w:ind w:left="7776" w:hanging="360"/>
      </w:pPr>
      <w:rPr>
        <w:rFonts w:hint="default"/>
      </w:rPr>
    </w:lvl>
  </w:abstractNum>
  <w:abstractNum w:abstractNumId="2" w15:restartNumberingAfterBreak="0">
    <w:nsid w:val="1F966A01"/>
    <w:multiLevelType w:val="hybridMultilevel"/>
    <w:tmpl w:val="FB0245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523097"/>
    <w:multiLevelType w:val="hybridMultilevel"/>
    <w:tmpl w:val="64B27D1C"/>
    <w:lvl w:ilvl="0" w:tplc="B158F5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751AC9"/>
    <w:multiLevelType w:val="hybridMultilevel"/>
    <w:tmpl w:val="78BC5C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C6F6184"/>
    <w:multiLevelType w:val="hybridMultilevel"/>
    <w:tmpl w:val="180AA786"/>
    <w:lvl w:ilvl="0" w:tplc="AB20900E">
      <w:start w:val="1"/>
      <w:numFmt w:val="lowerLetter"/>
      <w:lvlText w:val="%1."/>
      <w:lvlJc w:val="left"/>
      <w:pPr>
        <w:ind w:left="1080" w:hanging="360"/>
      </w:pPr>
      <w:rPr>
        <w:rFonts w:hint="default"/>
        <w:b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7E5370"/>
    <w:multiLevelType w:val="hybridMultilevel"/>
    <w:tmpl w:val="67C2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65BF4"/>
    <w:multiLevelType w:val="hybridMultilevel"/>
    <w:tmpl w:val="E90C340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9238B"/>
    <w:multiLevelType w:val="hybridMultilevel"/>
    <w:tmpl w:val="6E34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02BCB"/>
    <w:multiLevelType w:val="hybridMultilevel"/>
    <w:tmpl w:val="9D984BF6"/>
    <w:lvl w:ilvl="0" w:tplc="B158F5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B2868"/>
    <w:multiLevelType w:val="hybridMultilevel"/>
    <w:tmpl w:val="70E2EB62"/>
    <w:lvl w:ilvl="0" w:tplc="B7166A46">
      <w:start w:val="1"/>
      <w:numFmt w:val="bullet"/>
      <w:lvlText w:val=""/>
      <w:lvlJc w:val="left"/>
      <w:pPr>
        <w:ind w:left="390" w:hanging="270"/>
      </w:pPr>
      <w:rPr>
        <w:rFonts w:ascii="Symbol" w:eastAsia="Symbol" w:hAnsi="Symbol" w:hint="default"/>
        <w:sz w:val="22"/>
        <w:szCs w:val="22"/>
      </w:rPr>
    </w:lvl>
    <w:lvl w:ilvl="1" w:tplc="1CB6D724">
      <w:start w:val="1"/>
      <w:numFmt w:val="bullet"/>
      <w:lvlText w:val="o"/>
      <w:lvlJc w:val="left"/>
      <w:pPr>
        <w:ind w:left="930" w:hanging="360"/>
      </w:pPr>
      <w:rPr>
        <w:rFonts w:ascii="Courier New" w:eastAsia="Courier New" w:hAnsi="Courier New" w:hint="default"/>
        <w:sz w:val="24"/>
        <w:szCs w:val="24"/>
      </w:rPr>
    </w:lvl>
    <w:lvl w:ilvl="2" w:tplc="0014784E">
      <w:start w:val="1"/>
      <w:numFmt w:val="bullet"/>
      <w:lvlText w:val="•"/>
      <w:lvlJc w:val="left"/>
      <w:pPr>
        <w:ind w:left="1891" w:hanging="360"/>
      </w:pPr>
      <w:rPr>
        <w:rFonts w:hint="default"/>
      </w:rPr>
    </w:lvl>
    <w:lvl w:ilvl="3" w:tplc="BB38CFD6">
      <w:start w:val="1"/>
      <w:numFmt w:val="bullet"/>
      <w:lvlText w:val="•"/>
      <w:lvlJc w:val="left"/>
      <w:pPr>
        <w:ind w:left="2852" w:hanging="360"/>
      </w:pPr>
      <w:rPr>
        <w:rFonts w:hint="default"/>
      </w:rPr>
    </w:lvl>
    <w:lvl w:ilvl="4" w:tplc="EB26D640">
      <w:start w:val="1"/>
      <w:numFmt w:val="bullet"/>
      <w:lvlText w:val="•"/>
      <w:lvlJc w:val="left"/>
      <w:pPr>
        <w:ind w:left="3813" w:hanging="360"/>
      </w:pPr>
      <w:rPr>
        <w:rFonts w:hint="default"/>
      </w:rPr>
    </w:lvl>
    <w:lvl w:ilvl="5" w:tplc="17C8BB02">
      <w:start w:val="1"/>
      <w:numFmt w:val="bullet"/>
      <w:lvlText w:val="•"/>
      <w:lvlJc w:val="left"/>
      <w:pPr>
        <w:ind w:left="4774" w:hanging="360"/>
      </w:pPr>
      <w:rPr>
        <w:rFonts w:hint="default"/>
      </w:rPr>
    </w:lvl>
    <w:lvl w:ilvl="6" w:tplc="BDBA09EE">
      <w:start w:val="1"/>
      <w:numFmt w:val="bullet"/>
      <w:lvlText w:val="•"/>
      <w:lvlJc w:val="left"/>
      <w:pPr>
        <w:ind w:left="5735" w:hanging="360"/>
      </w:pPr>
      <w:rPr>
        <w:rFonts w:hint="default"/>
      </w:rPr>
    </w:lvl>
    <w:lvl w:ilvl="7" w:tplc="38C446E6">
      <w:start w:val="1"/>
      <w:numFmt w:val="bullet"/>
      <w:lvlText w:val="•"/>
      <w:lvlJc w:val="left"/>
      <w:pPr>
        <w:ind w:left="6696" w:hanging="360"/>
      </w:pPr>
      <w:rPr>
        <w:rFonts w:hint="default"/>
      </w:rPr>
    </w:lvl>
    <w:lvl w:ilvl="8" w:tplc="79B22704">
      <w:start w:val="1"/>
      <w:numFmt w:val="bullet"/>
      <w:lvlText w:val="•"/>
      <w:lvlJc w:val="left"/>
      <w:pPr>
        <w:ind w:left="7657" w:hanging="360"/>
      </w:pPr>
      <w:rPr>
        <w:rFonts w:hint="default"/>
      </w:rPr>
    </w:lvl>
  </w:abstractNum>
  <w:abstractNum w:abstractNumId="11" w15:restartNumberingAfterBreak="0">
    <w:nsid w:val="3B52674E"/>
    <w:multiLevelType w:val="hybridMultilevel"/>
    <w:tmpl w:val="D7486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5D7A39"/>
    <w:multiLevelType w:val="hybridMultilevel"/>
    <w:tmpl w:val="3BAA5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67498"/>
    <w:multiLevelType w:val="hybridMultilevel"/>
    <w:tmpl w:val="73CE0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991938"/>
    <w:multiLevelType w:val="hybridMultilevel"/>
    <w:tmpl w:val="328A519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CD254B"/>
    <w:multiLevelType w:val="hybridMultilevel"/>
    <w:tmpl w:val="BC1E615A"/>
    <w:lvl w:ilvl="0" w:tplc="B158F5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7569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25E7EDA"/>
    <w:multiLevelType w:val="hybridMultilevel"/>
    <w:tmpl w:val="976A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AF6182"/>
    <w:multiLevelType w:val="hybridMultilevel"/>
    <w:tmpl w:val="51AEE8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C60097"/>
    <w:multiLevelType w:val="hybridMultilevel"/>
    <w:tmpl w:val="8D92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17605"/>
    <w:multiLevelType w:val="hybridMultilevel"/>
    <w:tmpl w:val="180AA786"/>
    <w:lvl w:ilvl="0" w:tplc="AB20900E">
      <w:start w:val="1"/>
      <w:numFmt w:val="lowerLetter"/>
      <w:lvlText w:val="%1."/>
      <w:lvlJc w:val="left"/>
      <w:pPr>
        <w:ind w:left="1080" w:hanging="360"/>
      </w:pPr>
      <w:rPr>
        <w:rFonts w:hint="default"/>
        <w:b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7424CF"/>
    <w:multiLevelType w:val="hybridMultilevel"/>
    <w:tmpl w:val="AE0A5B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5F5FC9"/>
    <w:multiLevelType w:val="hybridMultilevel"/>
    <w:tmpl w:val="D7765C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EF74E7"/>
    <w:multiLevelType w:val="hybridMultilevel"/>
    <w:tmpl w:val="0514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B76F9"/>
    <w:multiLevelType w:val="hybridMultilevel"/>
    <w:tmpl w:val="F03CE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38788A"/>
    <w:multiLevelType w:val="hybridMultilevel"/>
    <w:tmpl w:val="FBDCD090"/>
    <w:lvl w:ilvl="0" w:tplc="CC381AD0">
      <w:start w:val="1"/>
      <w:numFmt w:val="bullet"/>
      <w:lvlText w:val=""/>
      <w:lvlJc w:val="left"/>
      <w:pPr>
        <w:ind w:left="479" w:hanging="180"/>
      </w:pPr>
      <w:rPr>
        <w:rFonts w:ascii="Symbol" w:eastAsia="Symbol" w:hAnsi="Symbol" w:hint="default"/>
        <w:w w:val="100"/>
      </w:rPr>
    </w:lvl>
    <w:lvl w:ilvl="1" w:tplc="E93C4396">
      <w:start w:val="1"/>
      <w:numFmt w:val="bullet"/>
      <w:lvlText w:val="o"/>
      <w:lvlJc w:val="left"/>
      <w:pPr>
        <w:ind w:left="1080" w:hanging="360"/>
      </w:pPr>
      <w:rPr>
        <w:rFonts w:ascii="Courier New" w:eastAsia="Courier New" w:hAnsi="Courier New" w:hint="default"/>
        <w:w w:val="100"/>
        <w:sz w:val="24"/>
        <w:szCs w:val="24"/>
      </w:rPr>
    </w:lvl>
    <w:lvl w:ilvl="2" w:tplc="53869EDE">
      <w:start w:val="1"/>
      <w:numFmt w:val="bullet"/>
      <w:lvlText w:val="•"/>
      <w:lvlJc w:val="left"/>
      <w:pPr>
        <w:ind w:left="1900" w:hanging="360"/>
      </w:pPr>
      <w:rPr>
        <w:rFonts w:hint="default"/>
      </w:rPr>
    </w:lvl>
    <w:lvl w:ilvl="3" w:tplc="12A0D8AC">
      <w:start w:val="1"/>
      <w:numFmt w:val="bullet"/>
      <w:lvlText w:val="•"/>
      <w:lvlJc w:val="left"/>
      <w:pPr>
        <w:ind w:left="2860" w:hanging="360"/>
      </w:pPr>
      <w:rPr>
        <w:rFonts w:hint="default"/>
      </w:rPr>
    </w:lvl>
    <w:lvl w:ilvl="4" w:tplc="BB74E284">
      <w:start w:val="1"/>
      <w:numFmt w:val="bullet"/>
      <w:lvlText w:val="•"/>
      <w:lvlJc w:val="left"/>
      <w:pPr>
        <w:ind w:left="3820" w:hanging="360"/>
      </w:pPr>
      <w:rPr>
        <w:rFonts w:hint="default"/>
      </w:rPr>
    </w:lvl>
    <w:lvl w:ilvl="5" w:tplc="8F7294BA">
      <w:start w:val="1"/>
      <w:numFmt w:val="bullet"/>
      <w:lvlText w:val="•"/>
      <w:lvlJc w:val="left"/>
      <w:pPr>
        <w:ind w:left="4780" w:hanging="360"/>
      </w:pPr>
      <w:rPr>
        <w:rFonts w:hint="default"/>
      </w:rPr>
    </w:lvl>
    <w:lvl w:ilvl="6" w:tplc="0AAA83E8">
      <w:start w:val="1"/>
      <w:numFmt w:val="bullet"/>
      <w:lvlText w:val="•"/>
      <w:lvlJc w:val="left"/>
      <w:pPr>
        <w:ind w:left="5740" w:hanging="360"/>
      </w:pPr>
      <w:rPr>
        <w:rFonts w:hint="default"/>
      </w:rPr>
    </w:lvl>
    <w:lvl w:ilvl="7" w:tplc="D610D406">
      <w:start w:val="1"/>
      <w:numFmt w:val="bullet"/>
      <w:lvlText w:val="•"/>
      <w:lvlJc w:val="left"/>
      <w:pPr>
        <w:ind w:left="6700" w:hanging="360"/>
      </w:pPr>
      <w:rPr>
        <w:rFonts w:hint="default"/>
      </w:rPr>
    </w:lvl>
    <w:lvl w:ilvl="8" w:tplc="9496A986">
      <w:start w:val="1"/>
      <w:numFmt w:val="bullet"/>
      <w:lvlText w:val="•"/>
      <w:lvlJc w:val="left"/>
      <w:pPr>
        <w:ind w:left="7660" w:hanging="360"/>
      </w:pPr>
      <w:rPr>
        <w:rFonts w:hint="default"/>
      </w:rPr>
    </w:lvl>
  </w:abstractNum>
  <w:abstractNum w:abstractNumId="26" w15:restartNumberingAfterBreak="0">
    <w:nsid w:val="7C052D71"/>
    <w:multiLevelType w:val="hybridMultilevel"/>
    <w:tmpl w:val="E1DE86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1"/>
  </w:num>
  <w:num w:numId="3">
    <w:abstractNumId w:val="3"/>
  </w:num>
  <w:num w:numId="4">
    <w:abstractNumId w:val="9"/>
  </w:num>
  <w:num w:numId="5">
    <w:abstractNumId w:val="0"/>
  </w:num>
  <w:num w:numId="6">
    <w:abstractNumId w:val="15"/>
  </w:num>
  <w:num w:numId="7">
    <w:abstractNumId w:val="16"/>
  </w:num>
  <w:num w:numId="8">
    <w:abstractNumId w:val="13"/>
  </w:num>
  <w:num w:numId="9">
    <w:abstractNumId w:val="22"/>
  </w:num>
  <w:num w:numId="10">
    <w:abstractNumId w:val="18"/>
  </w:num>
  <w:num w:numId="11">
    <w:abstractNumId w:val="7"/>
  </w:num>
  <w:num w:numId="12">
    <w:abstractNumId w:val="8"/>
  </w:num>
  <w:num w:numId="13">
    <w:abstractNumId w:val="14"/>
  </w:num>
  <w:num w:numId="14">
    <w:abstractNumId w:val="19"/>
  </w:num>
  <w:num w:numId="15">
    <w:abstractNumId w:val="24"/>
  </w:num>
  <w:num w:numId="16">
    <w:abstractNumId w:val="23"/>
  </w:num>
  <w:num w:numId="17">
    <w:abstractNumId w:val="20"/>
  </w:num>
  <w:num w:numId="18">
    <w:abstractNumId w:val="5"/>
  </w:num>
  <w:num w:numId="19">
    <w:abstractNumId w:val="4"/>
  </w:num>
  <w:num w:numId="20">
    <w:abstractNumId w:val="17"/>
  </w:num>
  <w:num w:numId="21">
    <w:abstractNumId w:val="21"/>
  </w:num>
  <w:num w:numId="22">
    <w:abstractNumId w:val="6"/>
  </w:num>
  <w:num w:numId="23">
    <w:abstractNumId w:val="12"/>
  </w:num>
  <w:num w:numId="24">
    <w:abstractNumId w:val="26"/>
  </w:num>
  <w:num w:numId="25">
    <w:abstractNumId w:val="1"/>
  </w:num>
  <w:num w:numId="26">
    <w:abstractNumId w:val="2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4D"/>
    <w:rsid w:val="00002FF3"/>
    <w:rsid w:val="0000558C"/>
    <w:rsid w:val="00014508"/>
    <w:rsid w:val="00031441"/>
    <w:rsid w:val="00040F36"/>
    <w:rsid w:val="000415BA"/>
    <w:rsid w:val="000553BE"/>
    <w:rsid w:val="00055D92"/>
    <w:rsid w:val="000560AD"/>
    <w:rsid w:val="00057E6F"/>
    <w:rsid w:val="00064129"/>
    <w:rsid w:val="0006783C"/>
    <w:rsid w:val="000837C0"/>
    <w:rsid w:val="00085CE1"/>
    <w:rsid w:val="0008684A"/>
    <w:rsid w:val="00091B21"/>
    <w:rsid w:val="000971EB"/>
    <w:rsid w:val="000A3745"/>
    <w:rsid w:val="000A45E8"/>
    <w:rsid w:val="000A68D6"/>
    <w:rsid w:val="000B5123"/>
    <w:rsid w:val="000B572E"/>
    <w:rsid w:val="000C4696"/>
    <w:rsid w:val="000C4B16"/>
    <w:rsid w:val="000D070D"/>
    <w:rsid w:val="000D1F24"/>
    <w:rsid w:val="000D35D0"/>
    <w:rsid w:val="000D4F61"/>
    <w:rsid w:val="000E5B5F"/>
    <w:rsid w:val="000F0B75"/>
    <w:rsid w:val="000F1E6D"/>
    <w:rsid w:val="000F5C14"/>
    <w:rsid w:val="000F7CA9"/>
    <w:rsid w:val="00117B80"/>
    <w:rsid w:val="00121138"/>
    <w:rsid w:val="00121B7E"/>
    <w:rsid w:val="00122F05"/>
    <w:rsid w:val="00131E72"/>
    <w:rsid w:val="00132DA6"/>
    <w:rsid w:val="001334FA"/>
    <w:rsid w:val="00135FF6"/>
    <w:rsid w:val="001429B9"/>
    <w:rsid w:val="00144D16"/>
    <w:rsid w:val="00146E77"/>
    <w:rsid w:val="0015207A"/>
    <w:rsid w:val="00154469"/>
    <w:rsid w:val="00156765"/>
    <w:rsid w:val="0016115E"/>
    <w:rsid w:val="00162698"/>
    <w:rsid w:val="00171600"/>
    <w:rsid w:val="00173824"/>
    <w:rsid w:val="001754E6"/>
    <w:rsid w:val="00182F2C"/>
    <w:rsid w:val="0018407D"/>
    <w:rsid w:val="00187DCC"/>
    <w:rsid w:val="0019431D"/>
    <w:rsid w:val="00196C61"/>
    <w:rsid w:val="001A0AC4"/>
    <w:rsid w:val="001B3FB3"/>
    <w:rsid w:val="001B60E9"/>
    <w:rsid w:val="001B617E"/>
    <w:rsid w:val="001B62C5"/>
    <w:rsid w:val="001C2854"/>
    <w:rsid w:val="001C39ED"/>
    <w:rsid w:val="001C5BD8"/>
    <w:rsid w:val="001D7A05"/>
    <w:rsid w:val="001E2064"/>
    <w:rsid w:val="001E6CFA"/>
    <w:rsid w:val="001F0D72"/>
    <w:rsid w:val="001F2169"/>
    <w:rsid w:val="001F5924"/>
    <w:rsid w:val="001F7A88"/>
    <w:rsid w:val="0020090F"/>
    <w:rsid w:val="00202E4B"/>
    <w:rsid w:val="00205061"/>
    <w:rsid w:val="00213BDA"/>
    <w:rsid w:val="002149E2"/>
    <w:rsid w:val="00214EF4"/>
    <w:rsid w:val="00217D4E"/>
    <w:rsid w:val="0022317B"/>
    <w:rsid w:val="00234849"/>
    <w:rsid w:val="002458C9"/>
    <w:rsid w:val="00255BC5"/>
    <w:rsid w:val="002610EF"/>
    <w:rsid w:val="0026170A"/>
    <w:rsid w:val="00261DE2"/>
    <w:rsid w:val="00263157"/>
    <w:rsid w:val="002650E5"/>
    <w:rsid w:val="00267A55"/>
    <w:rsid w:val="002765C4"/>
    <w:rsid w:val="002822F2"/>
    <w:rsid w:val="00285244"/>
    <w:rsid w:val="0028645C"/>
    <w:rsid w:val="00290250"/>
    <w:rsid w:val="002918B8"/>
    <w:rsid w:val="002918DC"/>
    <w:rsid w:val="002A0216"/>
    <w:rsid w:val="002A28AB"/>
    <w:rsid w:val="002A3C71"/>
    <w:rsid w:val="002A5A50"/>
    <w:rsid w:val="002A6189"/>
    <w:rsid w:val="002B00F8"/>
    <w:rsid w:val="002B31C6"/>
    <w:rsid w:val="002B4E3C"/>
    <w:rsid w:val="002D0FDA"/>
    <w:rsid w:val="002D3B87"/>
    <w:rsid w:val="002D49A9"/>
    <w:rsid w:val="002D7F0E"/>
    <w:rsid w:val="002E0238"/>
    <w:rsid w:val="002E0FD4"/>
    <w:rsid w:val="002E1B2C"/>
    <w:rsid w:val="002E4A7B"/>
    <w:rsid w:val="002E6137"/>
    <w:rsid w:val="002F2685"/>
    <w:rsid w:val="002F67F6"/>
    <w:rsid w:val="00301416"/>
    <w:rsid w:val="003017D6"/>
    <w:rsid w:val="00302CAD"/>
    <w:rsid w:val="00303A6B"/>
    <w:rsid w:val="0030410A"/>
    <w:rsid w:val="00304FDF"/>
    <w:rsid w:val="00306DF3"/>
    <w:rsid w:val="003130C2"/>
    <w:rsid w:val="003170F7"/>
    <w:rsid w:val="003212FD"/>
    <w:rsid w:val="003236EA"/>
    <w:rsid w:val="00332E27"/>
    <w:rsid w:val="00333127"/>
    <w:rsid w:val="00333319"/>
    <w:rsid w:val="00335D34"/>
    <w:rsid w:val="0033630A"/>
    <w:rsid w:val="00341371"/>
    <w:rsid w:val="00344F09"/>
    <w:rsid w:val="00346C63"/>
    <w:rsid w:val="00353C96"/>
    <w:rsid w:val="0035442A"/>
    <w:rsid w:val="00361DF4"/>
    <w:rsid w:val="00371C77"/>
    <w:rsid w:val="00377BB8"/>
    <w:rsid w:val="003853BD"/>
    <w:rsid w:val="00385A6D"/>
    <w:rsid w:val="00390FEC"/>
    <w:rsid w:val="003948BA"/>
    <w:rsid w:val="003A4205"/>
    <w:rsid w:val="003C044F"/>
    <w:rsid w:val="003C4800"/>
    <w:rsid w:val="003C5285"/>
    <w:rsid w:val="003D135C"/>
    <w:rsid w:val="003D1FA8"/>
    <w:rsid w:val="003D3010"/>
    <w:rsid w:val="003D56EC"/>
    <w:rsid w:val="003D6648"/>
    <w:rsid w:val="003E13C1"/>
    <w:rsid w:val="003F4F96"/>
    <w:rsid w:val="003F716E"/>
    <w:rsid w:val="00404190"/>
    <w:rsid w:val="0041315D"/>
    <w:rsid w:val="0041696A"/>
    <w:rsid w:val="00424FB3"/>
    <w:rsid w:val="00430A97"/>
    <w:rsid w:val="00431E97"/>
    <w:rsid w:val="00441928"/>
    <w:rsid w:val="00452B06"/>
    <w:rsid w:val="004656AD"/>
    <w:rsid w:val="004725AA"/>
    <w:rsid w:val="00477CE2"/>
    <w:rsid w:val="00483DE1"/>
    <w:rsid w:val="0048700B"/>
    <w:rsid w:val="00494B38"/>
    <w:rsid w:val="00495B4F"/>
    <w:rsid w:val="004A02F1"/>
    <w:rsid w:val="004B3162"/>
    <w:rsid w:val="004B48E0"/>
    <w:rsid w:val="004C7904"/>
    <w:rsid w:val="004E7188"/>
    <w:rsid w:val="00500115"/>
    <w:rsid w:val="005024A0"/>
    <w:rsid w:val="005149B6"/>
    <w:rsid w:val="00514F24"/>
    <w:rsid w:val="00531B73"/>
    <w:rsid w:val="00536C39"/>
    <w:rsid w:val="00540C18"/>
    <w:rsid w:val="0054266D"/>
    <w:rsid w:val="00545C75"/>
    <w:rsid w:val="005470FE"/>
    <w:rsid w:val="00554FD9"/>
    <w:rsid w:val="00556337"/>
    <w:rsid w:val="005603BD"/>
    <w:rsid w:val="005646A2"/>
    <w:rsid w:val="005765ED"/>
    <w:rsid w:val="0058163E"/>
    <w:rsid w:val="00583F71"/>
    <w:rsid w:val="00584305"/>
    <w:rsid w:val="005A34A6"/>
    <w:rsid w:val="005B34CD"/>
    <w:rsid w:val="005B7A1F"/>
    <w:rsid w:val="005C1126"/>
    <w:rsid w:val="005C6B8D"/>
    <w:rsid w:val="005D28BE"/>
    <w:rsid w:val="005D4A48"/>
    <w:rsid w:val="005E48F8"/>
    <w:rsid w:val="005E66EC"/>
    <w:rsid w:val="005F7780"/>
    <w:rsid w:val="00601FDB"/>
    <w:rsid w:val="00610272"/>
    <w:rsid w:val="006120A3"/>
    <w:rsid w:val="006162E3"/>
    <w:rsid w:val="00622B1A"/>
    <w:rsid w:val="006302A1"/>
    <w:rsid w:val="00633FAB"/>
    <w:rsid w:val="00634CF4"/>
    <w:rsid w:val="006362A1"/>
    <w:rsid w:val="006377D3"/>
    <w:rsid w:val="0064396A"/>
    <w:rsid w:val="00652C34"/>
    <w:rsid w:val="00654FE9"/>
    <w:rsid w:val="00655074"/>
    <w:rsid w:val="00655CB3"/>
    <w:rsid w:val="00656103"/>
    <w:rsid w:val="006565D7"/>
    <w:rsid w:val="00663B88"/>
    <w:rsid w:val="00670098"/>
    <w:rsid w:val="00671B0D"/>
    <w:rsid w:val="00675981"/>
    <w:rsid w:val="0068190D"/>
    <w:rsid w:val="00683C21"/>
    <w:rsid w:val="00686D19"/>
    <w:rsid w:val="00687696"/>
    <w:rsid w:val="00694AD6"/>
    <w:rsid w:val="00695062"/>
    <w:rsid w:val="00696899"/>
    <w:rsid w:val="006A5AB6"/>
    <w:rsid w:val="006A61DC"/>
    <w:rsid w:val="006A68A4"/>
    <w:rsid w:val="006A71BB"/>
    <w:rsid w:val="006B6ACA"/>
    <w:rsid w:val="006C6E07"/>
    <w:rsid w:val="006D62A8"/>
    <w:rsid w:val="006D76B5"/>
    <w:rsid w:val="006E13DC"/>
    <w:rsid w:val="006E4A65"/>
    <w:rsid w:val="006E6748"/>
    <w:rsid w:val="006E760F"/>
    <w:rsid w:val="006F0CBF"/>
    <w:rsid w:val="006F309E"/>
    <w:rsid w:val="007026B6"/>
    <w:rsid w:val="00706AB0"/>
    <w:rsid w:val="00707079"/>
    <w:rsid w:val="0071279B"/>
    <w:rsid w:val="00714B34"/>
    <w:rsid w:val="007163AB"/>
    <w:rsid w:val="00716680"/>
    <w:rsid w:val="007215A9"/>
    <w:rsid w:val="00736FF3"/>
    <w:rsid w:val="00743196"/>
    <w:rsid w:val="0075799C"/>
    <w:rsid w:val="0076115A"/>
    <w:rsid w:val="00770501"/>
    <w:rsid w:val="0077207A"/>
    <w:rsid w:val="00772B59"/>
    <w:rsid w:val="0077381B"/>
    <w:rsid w:val="00774DD0"/>
    <w:rsid w:val="00777A50"/>
    <w:rsid w:val="00780DE2"/>
    <w:rsid w:val="00781603"/>
    <w:rsid w:val="00791E46"/>
    <w:rsid w:val="00792174"/>
    <w:rsid w:val="007963C2"/>
    <w:rsid w:val="007A33F8"/>
    <w:rsid w:val="007D1A6D"/>
    <w:rsid w:val="007D7DF5"/>
    <w:rsid w:val="007D7EDE"/>
    <w:rsid w:val="007E1E78"/>
    <w:rsid w:val="00801FD3"/>
    <w:rsid w:val="00803387"/>
    <w:rsid w:val="0080739B"/>
    <w:rsid w:val="008105D2"/>
    <w:rsid w:val="008113A4"/>
    <w:rsid w:val="00813541"/>
    <w:rsid w:val="0081499F"/>
    <w:rsid w:val="008162F4"/>
    <w:rsid w:val="00825196"/>
    <w:rsid w:val="00835586"/>
    <w:rsid w:val="0084264E"/>
    <w:rsid w:val="00846D5A"/>
    <w:rsid w:val="008505F4"/>
    <w:rsid w:val="00851836"/>
    <w:rsid w:val="00853153"/>
    <w:rsid w:val="00871107"/>
    <w:rsid w:val="00872F5D"/>
    <w:rsid w:val="00886F1B"/>
    <w:rsid w:val="008872C9"/>
    <w:rsid w:val="00887471"/>
    <w:rsid w:val="00890552"/>
    <w:rsid w:val="00890D8C"/>
    <w:rsid w:val="00890F55"/>
    <w:rsid w:val="00891E02"/>
    <w:rsid w:val="0089662A"/>
    <w:rsid w:val="008A4134"/>
    <w:rsid w:val="008B0A5B"/>
    <w:rsid w:val="008C37D7"/>
    <w:rsid w:val="008C4F89"/>
    <w:rsid w:val="008C7001"/>
    <w:rsid w:val="008E04BE"/>
    <w:rsid w:val="00903392"/>
    <w:rsid w:val="00905CFF"/>
    <w:rsid w:val="009154C9"/>
    <w:rsid w:val="00917A8C"/>
    <w:rsid w:val="00922A16"/>
    <w:rsid w:val="00922E1E"/>
    <w:rsid w:val="00923857"/>
    <w:rsid w:val="009240D3"/>
    <w:rsid w:val="009323D9"/>
    <w:rsid w:val="00932AB6"/>
    <w:rsid w:val="00937856"/>
    <w:rsid w:val="00945B7D"/>
    <w:rsid w:val="009527FD"/>
    <w:rsid w:val="0096103F"/>
    <w:rsid w:val="00964D02"/>
    <w:rsid w:val="00965AA8"/>
    <w:rsid w:val="009671A8"/>
    <w:rsid w:val="00972EE3"/>
    <w:rsid w:val="009823D1"/>
    <w:rsid w:val="00983D52"/>
    <w:rsid w:val="00995197"/>
    <w:rsid w:val="00995570"/>
    <w:rsid w:val="009A4226"/>
    <w:rsid w:val="009A7D6E"/>
    <w:rsid w:val="009B0F88"/>
    <w:rsid w:val="009B1018"/>
    <w:rsid w:val="009B1CB2"/>
    <w:rsid w:val="009C15AE"/>
    <w:rsid w:val="009D264B"/>
    <w:rsid w:val="009D3728"/>
    <w:rsid w:val="009D6666"/>
    <w:rsid w:val="009E60C0"/>
    <w:rsid w:val="009E6C72"/>
    <w:rsid w:val="009F1A42"/>
    <w:rsid w:val="009F3246"/>
    <w:rsid w:val="009F54AD"/>
    <w:rsid w:val="00A00B33"/>
    <w:rsid w:val="00A0780C"/>
    <w:rsid w:val="00A169DB"/>
    <w:rsid w:val="00A22965"/>
    <w:rsid w:val="00A250B4"/>
    <w:rsid w:val="00A27B2E"/>
    <w:rsid w:val="00A40361"/>
    <w:rsid w:val="00A41CE7"/>
    <w:rsid w:val="00A42CA6"/>
    <w:rsid w:val="00A471CA"/>
    <w:rsid w:val="00A567A6"/>
    <w:rsid w:val="00A63568"/>
    <w:rsid w:val="00A73748"/>
    <w:rsid w:val="00A83B52"/>
    <w:rsid w:val="00A851D9"/>
    <w:rsid w:val="00A91530"/>
    <w:rsid w:val="00A955AE"/>
    <w:rsid w:val="00A95D4D"/>
    <w:rsid w:val="00AA242E"/>
    <w:rsid w:val="00AA4CA3"/>
    <w:rsid w:val="00AA6F85"/>
    <w:rsid w:val="00AB248A"/>
    <w:rsid w:val="00AB301C"/>
    <w:rsid w:val="00AB4F98"/>
    <w:rsid w:val="00AB5D3E"/>
    <w:rsid w:val="00AB6174"/>
    <w:rsid w:val="00AD27F5"/>
    <w:rsid w:val="00AD50D3"/>
    <w:rsid w:val="00AE6489"/>
    <w:rsid w:val="00AF2E85"/>
    <w:rsid w:val="00AF4C16"/>
    <w:rsid w:val="00AF4F31"/>
    <w:rsid w:val="00B145B7"/>
    <w:rsid w:val="00B205E1"/>
    <w:rsid w:val="00B21FF8"/>
    <w:rsid w:val="00B34526"/>
    <w:rsid w:val="00B41BC6"/>
    <w:rsid w:val="00B4220C"/>
    <w:rsid w:val="00B44A4D"/>
    <w:rsid w:val="00B46122"/>
    <w:rsid w:val="00B507B4"/>
    <w:rsid w:val="00B51E3E"/>
    <w:rsid w:val="00B71883"/>
    <w:rsid w:val="00B73F5E"/>
    <w:rsid w:val="00B77BB1"/>
    <w:rsid w:val="00B822C8"/>
    <w:rsid w:val="00B83210"/>
    <w:rsid w:val="00B84FDE"/>
    <w:rsid w:val="00B85EFF"/>
    <w:rsid w:val="00B91D0C"/>
    <w:rsid w:val="00B93758"/>
    <w:rsid w:val="00B94E5C"/>
    <w:rsid w:val="00BA041F"/>
    <w:rsid w:val="00BA51F0"/>
    <w:rsid w:val="00BB052C"/>
    <w:rsid w:val="00BB3D4F"/>
    <w:rsid w:val="00BB6C0B"/>
    <w:rsid w:val="00BB70B2"/>
    <w:rsid w:val="00BD11A0"/>
    <w:rsid w:val="00BD3501"/>
    <w:rsid w:val="00BD428E"/>
    <w:rsid w:val="00BD59DE"/>
    <w:rsid w:val="00BE147A"/>
    <w:rsid w:val="00BE181D"/>
    <w:rsid w:val="00BE6369"/>
    <w:rsid w:val="00C01ADC"/>
    <w:rsid w:val="00C03956"/>
    <w:rsid w:val="00C0542E"/>
    <w:rsid w:val="00C11F8A"/>
    <w:rsid w:val="00C16127"/>
    <w:rsid w:val="00C17C8D"/>
    <w:rsid w:val="00C24307"/>
    <w:rsid w:val="00C33403"/>
    <w:rsid w:val="00C36B9A"/>
    <w:rsid w:val="00C36C9D"/>
    <w:rsid w:val="00C422D4"/>
    <w:rsid w:val="00C42F52"/>
    <w:rsid w:val="00C443D5"/>
    <w:rsid w:val="00C4467D"/>
    <w:rsid w:val="00C506CC"/>
    <w:rsid w:val="00C60049"/>
    <w:rsid w:val="00C67A01"/>
    <w:rsid w:val="00C72017"/>
    <w:rsid w:val="00C74739"/>
    <w:rsid w:val="00C773AE"/>
    <w:rsid w:val="00C826F3"/>
    <w:rsid w:val="00C94C63"/>
    <w:rsid w:val="00C95315"/>
    <w:rsid w:val="00CA7C26"/>
    <w:rsid w:val="00CB3250"/>
    <w:rsid w:val="00CB7981"/>
    <w:rsid w:val="00CC23F5"/>
    <w:rsid w:val="00CC6E87"/>
    <w:rsid w:val="00CD5B93"/>
    <w:rsid w:val="00CD6BD4"/>
    <w:rsid w:val="00CD6E7C"/>
    <w:rsid w:val="00CD7C80"/>
    <w:rsid w:val="00CF7550"/>
    <w:rsid w:val="00D02635"/>
    <w:rsid w:val="00D03018"/>
    <w:rsid w:val="00D037B7"/>
    <w:rsid w:val="00D11192"/>
    <w:rsid w:val="00D12C24"/>
    <w:rsid w:val="00D17ECD"/>
    <w:rsid w:val="00D20A20"/>
    <w:rsid w:val="00D218D8"/>
    <w:rsid w:val="00D243AF"/>
    <w:rsid w:val="00D3150F"/>
    <w:rsid w:val="00D40935"/>
    <w:rsid w:val="00D41C80"/>
    <w:rsid w:val="00D41EFC"/>
    <w:rsid w:val="00D478EF"/>
    <w:rsid w:val="00D507CC"/>
    <w:rsid w:val="00D555DA"/>
    <w:rsid w:val="00D60493"/>
    <w:rsid w:val="00D61AB5"/>
    <w:rsid w:val="00D64AC7"/>
    <w:rsid w:val="00D6580C"/>
    <w:rsid w:val="00D65A08"/>
    <w:rsid w:val="00D65DDF"/>
    <w:rsid w:val="00D668B3"/>
    <w:rsid w:val="00D70646"/>
    <w:rsid w:val="00D743C6"/>
    <w:rsid w:val="00D748A3"/>
    <w:rsid w:val="00D75A1C"/>
    <w:rsid w:val="00D825BA"/>
    <w:rsid w:val="00D87CDE"/>
    <w:rsid w:val="00D929A1"/>
    <w:rsid w:val="00D92CCD"/>
    <w:rsid w:val="00D96B65"/>
    <w:rsid w:val="00DA1347"/>
    <w:rsid w:val="00DA71E7"/>
    <w:rsid w:val="00DA7B6F"/>
    <w:rsid w:val="00DB3250"/>
    <w:rsid w:val="00DB5F85"/>
    <w:rsid w:val="00DB6444"/>
    <w:rsid w:val="00DB79D4"/>
    <w:rsid w:val="00DC2F01"/>
    <w:rsid w:val="00DD4213"/>
    <w:rsid w:val="00DD50C6"/>
    <w:rsid w:val="00DD6220"/>
    <w:rsid w:val="00DE452C"/>
    <w:rsid w:val="00DF44C9"/>
    <w:rsid w:val="00DF47B6"/>
    <w:rsid w:val="00E00105"/>
    <w:rsid w:val="00E01185"/>
    <w:rsid w:val="00E02AA1"/>
    <w:rsid w:val="00E0317A"/>
    <w:rsid w:val="00E17EE0"/>
    <w:rsid w:val="00E25C7C"/>
    <w:rsid w:val="00E266C9"/>
    <w:rsid w:val="00E308E2"/>
    <w:rsid w:val="00E85F02"/>
    <w:rsid w:val="00E863BF"/>
    <w:rsid w:val="00EA4CC1"/>
    <w:rsid w:val="00EA5947"/>
    <w:rsid w:val="00EB53BF"/>
    <w:rsid w:val="00EC073F"/>
    <w:rsid w:val="00EC4094"/>
    <w:rsid w:val="00ED0D9B"/>
    <w:rsid w:val="00ED1E11"/>
    <w:rsid w:val="00ED434B"/>
    <w:rsid w:val="00ED5C10"/>
    <w:rsid w:val="00ED6324"/>
    <w:rsid w:val="00ED64DD"/>
    <w:rsid w:val="00EE60B2"/>
    <w:rsid w:val="00EF1DE7"/>
    <w:rsid w:val="00EF305F"/>
    <w:rsid w:val="00F02DF4"/>
    <w:rsid w:val="00F04463"/>
    <w:rsid w:val="00F04FD7"/>
    <w:rsid w:val="00F12B61"/>
    <w:rsid w:val="00F227FA"/>
    <w:rsid w:val="00F321C7"/>
    <w:rsid w:val="00F34A6E"/>
    <w:rsid w:val="00F43589"/>
    <w:rsid w:val="00F503FD"/>
    <w:rsid w:val="00F6138F"/>
    <w:rsid w:val="00F758EB"/>
    <w:rsid w:val="00F76D9A"/>
    <w:rsid w:val="00F8202F"/>
    <w:rsid w:val="00F820E4"/>
    <w:rsid w:val="00F85303"/>
    <w:rsid w:val="00F95C53"/>
    <w:rsid w:val="00FA101F"/>
    <w:rsid w:val="00FC577A"/>
    <w:rsid w:val="00FD6086"/>
    <w:rsid w:val="00FE06E4"/>
    <w:rsid w:val="00FE0CB8"/>
    <w:rsid w:val="00FE1CF3"/>
    <w:rsid w:val="00FE2527"/>
    <w:rsid w:val="00FE3D72"/>
    <w:rsid w:val="00FF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08560DDC"/>
  <w15:docId w15:val="{45AF9F16-343D-4BA8-902C-81502B96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463"/>
    <w:rPr>
      <w:sz w:val="24"/>
      <w:szCs w:val="24"/>
    </w:rPr>
  </w:style>
  <w:style w:type="paragraph" w:styleId="Heading1">
    <w:name w:val="heading 1"/>
    <w:basedOn w:val="Normal"/>
    <w:next w:val="Normal"/>
    <w:link w:val="Heading1Char"/>
    <w:qFormat/>
    <w:rsid w:val="00F04463"/>
    <w:pPr>
      <w:keepNext/>
      <w:outlineLvl w:val="0"/>
    </w:pPr>
    <w:rPr>
      <w:rFonts w:ascii="Arial" w:hAnsi="Arial"/>
      <w:b/>
      <w:sz w:val="28"/>
      <w:szCs w:val="20"/>
    </w:rPr>
  </w:style>
  <w:style w:type="paragraph" w:styleId="Heading2">
    <w:name w:val="heading 2"/>
    <w:basedOn w:val="Normal"/>
    <w:next w:val="Normal"/>
    <w:qFormat/>
    <w:rsid w:val="00F04463"/>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4463"/>
    <w:pPr>
      <w:tabs>
        <w:tab w:val="center" w:pos="4320"/>
        <w:tab w:val="right" w:pos="8640"/>
      </w:tabs>
    </w:pPr>
  </w:style>
  <w:style w:type="character" w:styleId="PageNumber">
    <w:name w:val="page number"/>
    <w:basedOn w:val="DefaultParagraphFont"/>
    <w:rsid w:val="00F04463"/>
  </w:style>
  <w:style w:type="paragraph" w:styleId="Header">
    <w:name w:val="header"/>
    <w:basedOn w:val="Normal"/>
    <w:rsid w:val="00F04463"/>
    <w:pPr>
      <w:tabs>
        <w:tab w:val="center" w:pos="4320"/>
        <w:tab w:val="right" w:pos="8640"/>
      </w:tabs>
    </w:pPr>
  </w:style>
  <w:style w:type="paragraph" w:styleId="BalloonText">
    <w:name w:val="Balloon Text"/>
    <w:basedOn w:val="Normal"/>
    <w:semiHidden/>
    <w:rsid w:val="00F04463"/>
    <w:rPr>
      <w:rFonts w:ascii="Tahoma" w:hAnsi="Tahoma" w:cs="Tahoma"/>
      <w:sz w:val="16"/>
      <w:szCs w:val="16"/>
    </w:rPr>
  </w:style>
  <w:style w:type="paragraph" w:customStyle="1" w:styleId="NormalBlock">
    <w:name w:val="Normal Block"/>
    <w:basedOn w:val="Normal"/>
    <w:rsid w:val="00F04463"/>
    <w:pPr>
      <w:spacing w:before="240"/>
    </w:pPr>
    <w:rPr>
      <w:rFonts w:ascii="Arial" w:hAnsi="Arial"/>
      <w:szCs w:val="20"/>
    </w:rPr>
  </w:style>
  <w:style w:type="paragraph" w:styleId="BodyText">
    <w:name w:val="Body Text"/>
    <w:aliases w:val="HR Body Text,BT"/>
    <w:basedOn w:val="Normal"/>
    <w:rsid w:val="001B617E"/>
    <w:pPr>
      <w:ind w:left="360"/>
    </w:pPr>
    <w:rPr>
      <w:rFonts w:ascii="Times" w:eastAsia="Times" w:hAnsi="Times"/>
      <w:sz w:val="22"/>
      <w:szCs w:val="20"/>
    </w:rPr>
  </w:style>
  <w:style w:type="character" w:styleId="Hyperlink">
    <w:name w:val="Hyperlink"/>
    <w:rsid w:val="007D7EDE"/>
    <w:rPr>
      <w:color w:val="0000FF"/>
      <w:u w:val="single"/>
    </w:rPr>
  </w:style>
  <w:style w:type="character" w:customStyle="1" w:styleId="FooterChar">
    <w:name w:val="Footer Char"/>
    <w:link w:val="Footer"/>
    <w:uiPriority w:val="99"/>
    <w:rsid w:val="0018407D"/>
    <w:rPr>
      <w:sz w:val="24"/>
      <w:szCs w:val="24"/>
    </w:rPr>
  </w:style>
  <w:style w:type="character" w:customStyle="1" w:styleId="Heading1Char">
    <w:name w:val="Heading 1 Char"/>
    <w:link w:val="Heading1"/>
    <w:rsid w:val="00290250"/>
    <w:rPr>
      <w:rFonts w:ascii="Arial" w:hAnsi="Arial" w:cs="Arial"/>
      <w:b/>
      <w:sz w:val="28"/>
    </w:rPr>
  </w:style>
  <w:style w:type="paragraph" w:styleId="ListParagraph">
    <w:name w:val="List Paragraph"/>
    <w:basedOn w:val="Normal"/>
    <w:uiPriority w:val="1"/>
    <w:qFormat/>
    <w:rsid w:val="004C7904"/>
    <w:pPr>
      <w:ind w:left="720" w:hanging="720"/>
      <w:contextualSpacing/>
    </w:pPr>
    <w:rPr>
      <w:rFonts w:ascii="Calibri" w:eastAsia="Calibri" w:hAnsi="Calibri"/>
      <w:sz w:val="22"/>
      <w:szCs w:val="22"/>
    </w:rPr>
  </w:style>
  <w:style w:type="character" w:styleId="CommentReference">
    <w:name w:val="annotation reference"/>
    <w:uiPriority w:val="99"/>
    <w:semiHidden/>
    <w:unhideWhenUsed/>
    <w:rsid w:val="00F34A6E"/>
    <w:rPr>
      <w:sz w:val="16"/>
      <w:szCs w:val="16"/>
    </w:rPr>
  </w:style>
  <w:style w:type="paragraph" w:styleId="CommentText">
    <w:name w:val="annotation text"/>
    <w:basedOn w:val="Normal"/>
    <w:link w:val="CommentTextChar"/>
    <w:uiPriority w:val="99"/>
    <w:semiHidden/>
    <w:unhideWhenUsed/>
    <w:rsid w:val="00F34A6E"/>
    <w:rPr>
      <w:sz w:val="20"/>
      <w:szCs w:val="20"/>
    </w:rPr>
  </w:style>
  <w:style w:type="character" w:customStyle="1" w:styleId="CommentTextChar">
    <w:name w:val="Comment Text Char"/>
    <w:basedOn w:val="DefaultParagraphFont"/>
    <w:link w:val="CommentText"/>
    <w:uiPriority w:val="99"/>
    <w:semiHidden/>
    <w:rsid w:val="00F34A6E"/>
  </w:style>
  <w:style w:type="paragraph" w:styleId="CommentSubject">
    <w:name w:val="annotation subject"/>
    <w:basedOn w:val="CommentText"/>
    <w:next w:val="CommentText"/>
    <w:link w:val="CommentSubjectChar"/>
    <w:uiPriority w:val="99"/>
    <w:semiHidden/>
    <w:unhideWhenUsed/>
    <w:rsid w:val="00F34A6E"/>
    <w:rPr>
      <w:b/>
      <w:bCs/>
    </w:rPr>
  </w:style>
  <w:style w:type="character" w:customStyle="1" w:styleId="CommentSubjectChar">
    <w:name w:val="Comment Subject Char"/>
    <w:link w:val="CommentSubject"/>
    <w:uiPriority w:val="99"/>
    <w:semiHidden/>
    <w:rsid w:val="00F34A6E"/>
    <w:rPr>
      <w:b/>
      <w:bCs/>
    </w:rPr>
  </w:style>
  <w:style w:type="paragraph" w:styleId="NoSpacing">
    <w:name w:val="No Spacing"/>
    <w:uiPriority w:val="1"/>
    <w:qFormat/>
    <w:rsid w:val="00304FDF"/>
    <w:rPr>
      <w:sz w:val="24"/>
      <w:szCs w:val="24"/>
    </w:rPr>
  </w:style>
  <w:style w:type="paragraph" w:customStyle="1" w:styleId="yiv246029555msolistparagraph">
    <w:name w:val="yiv246029555msolistparagraph"/>
    <w:basedOn w:val="Normal"/>
    <w:rsid w:val="00A169DB"/>
    <w:pPr>
      <w:spacing w:before="100" w:beforeAutospacing="1" w:after="100" w:afterAutospacing="1"/>
    </w:pPr>
  </w:style>
  <w:style w:type="paragraph" w:customStyle="1" w:styleId="yiv246029555msonormal">
    <w:name w:val="yiv246029555msonormal"/>
    <w:basedOn w:val="Normal"/>
    <w:rsid w:val="00A169DB"/>
    <w:pPr>
      <w:spacing w:before="100" w:beforeAutospacing="1" w:after="100" w:afterAutospacing="1"/>
    </w:pPr>
  </w:style>
  <w:style w:type="paragraph" w:styleId="Revision">
    <w:name w:val="Revision"/>
    <w:hidden/>
    <w:uiPriority w:val="99"/>
    <w:semiHidden/>
    <w:rsid w:val="00A83B52"/>
    <w:rPr>
      <w:sz w:val="24"/>
      <w:szCs w:val="24"/>
    </w:rPr>
  </w:style>
  <w:style w:type="paragraph" w:styleId="NormalWeb">
    <w:name w:val="Normal (Web)"/>
    <w:basedOn w:val="Normal"/>
    <w:uiPriority w:val="99"/>
    <w:unhideWhenUsed/>
    <w:rsid w:val="000D35D0"/>
    <w:pPr>
      <w:spacing w:before="100" w:beforeAutospacing="1" w:after="100" w:afterAutospacing="1"/>
    </w:pPr>
  </w:style>
  <w:style w:type="character" w:styleId="Strong">
    <w:name w:val="Strong"/>
    <w:basedOn w:val="DefaultParagraphFont"/>
    <w:uiPriority w:val="22"/>
    <w:qFormat/>
    <w:rsid w:val="000D35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3966">
      <w:bodyDiv w:val="1"/>
      <w:marLeft w:val="0"/>
      <w:marRight w:val="0"/>
      <w:marTop w:val="0"/>
      <w:marBottom w:val="0"/>
      <w:divBdr>
        <w:top w:val="none" w:sz="0" w:space="0" w:color="auto"/>
        <w:left w:val="none" w:sz="0" w:space="0" w:color="auto"/>
        <w:bottom w:val="none" w:sz="0" w:space="0" w:color="auto"/>
        <w:right w:val="none" w:sz="0" w:space="0" w:color="auto"/>
      </w:divBdr>
    </w:div>
    <w:div w:id="149833798">
      <w:bodyDiv w:val="1"/>
      <w:marLeft w:val="0"/>
      <w:marRight w:val="0"/>
      <w:marTop w:val="0"/>
      <w:marBottom w:val="0"/>
      <w:divBdr>
        <w:top w:val="none" w:sz="0" w:space="0" w:color="auto"/>
        <w:left w:val="none" w:sz="0" w:space="0" w:color="auto"/>
        <w:bottom w:val="none" w:sz="0" w:space="0" w:color="auto"/>
        <w:right w:val="none" w:sz="0" w:space="0" w:color="auto"/>
      </w:divBdr>
    </w:div>
    <w:div w:id="188299416">
      <w:bodyDiv w:val="1"/>
      <w:marLeft w:val="0"/>
      <w:marRight w:val="0"/>
      <w:marTop w:val="0"/>
      <w:marBottom w:val="0"/>
      <w:divBdr>
        <w:top w:val="none" w:sz="0" w:space="0" w:color="auto"/>
        <w:left w:val="none" w:sz="0" w:space="0" w:color="auto"/>
        <w:bottom w:val="none" w:sz="0" w:space="0" w:color="auto"/>
        <w:right w:val="none" w:sz="0" w:space="0" w:color="auto"/>
      </w:divBdr>
    </w:div>
    <w:div w:id="250164139">
      <w:bodyDiv w:val="1"/>
      <w:marLeft w:val="0"/>
      <w:marRight w:val="0"/>
      <w:marTop w:val="0"/>
      <w:marBottom w:val="0"/>
      <w:divBdr>
        <w:top w:val="none" w:sz="0" w:space="0" w:color="auto"/>
        <w:left w:val="none" w:sz="0" w:space="0" w:color="auto"/>
        <w:bottom w:val="none" w:sz="0" w:space="0" w:color="auto"/>
        <w:right w:val="none" w:sz="0" w:space="0" w:color="auto"/>
      </w:divBdr>
    </w:div>
    <w:div w:id="458888151">
      <w:bodyDiv w:val="1"/>
      <w:marLeft w:val="0"/>
      <w:marRight w:val="0"/>
      <w:marTop w:val="0"/>
      <w:marBottom w:val="0"/>
      <w:divBdr>
        <w:top w:val="none" w:sz="0" w:space="0" w:color="auto"/>
        <w:left w:val="none" w:sz="0" w:space="0" w:color="auto"/>
        <w:bottom w:val="none" w:sz="0" w:space="0" w:color="auto"/>
        <w:right w:val="none" w:sz="0" w:space="0" w:color="auto"/>
      </w:divBdr>
    </w:div>
    <w:div w:id="526068567">
      <w:bodyDiv w:val="1"/>
      <w:marLeft w:val="0"/>
      <w:marRight w:val="0"/>
      <w:marTop w:val="0"/>
      <w:marBottom w:val="0"/>
      <w:divBdr>
        <w:top w:val="none" w:sz="0" w:space="0" w:color="auto"/>
        <w:left w:val="none" w:sz="0" w:space="0" w:color="auto"/>
        <w:bottom w:val="none" w:sz="0" w:space="0" w:color="auto"/>
        <w:right w:val="none" w:sz="0" w:space="0" w:color="auto"/>
      </w:divBdr>
    </w:div>
    <w:div w:id="580410826">
      <w:bodyDiv w:val="1"/>
      <w:marLeft w:val="0"/>
      <w:marRight w:val="0"/>
      <w:marTop w:val="0"/>
      <w:marBottom w:val="0"/>
      <w:divBdr>
        <w:top w:val="none" w:sz="0" w:space="0" w:color="auto"/>
        <w:left w:val="none" w:sz="0" w:space="0" w:color="auto"/>
        <w:bottom w:val="none" w:sz="0" w:space="0" w:color="auto"/>
        <w:right w:val="none" w:sz="0" w:space="0" w:color="auto"/>
      </w:divBdr>
    </w:div>
    <w:div w:id="720833958">
      <w:bodyDiv w:val="1"/>
      <w:marLeft w:val="0"/>
      <w:marRight w:val="0"/>
      <w:marTop w:val="0"/>
      <w:marBottom w:val="0"/>
      <w:divBdr>
        <w:top w:val="none" w:sz="0" w:space="0" w:color="auto"/>
        <w:left w:val="none" w:sz="0" w:space="0" w:color="auto"/>
        <w:bottom w:val="none" w:sz="0" w:space="0" w:color="auto"/>
        <w:right w:val="none" w:sz="0" w:space="0" w:color="auto"/>
      </w:divBdr>
    </w:div>
    <w:div w:id="731541677">
      <w:bodyDiv w:val="1"/>
      <w:marLeft w:val="0"/>
      <w:marRight w:val="0"/>
      <w:marTop w:val="0"/>
      <w:marBottom w:val="0"/>
      <w:divBdr>
        <w:top w:val="none" w:sz="0" w:space="0" w:color="auto"/>
        <w:left w:val="none" w:sz="0" w:space="0" w:color="auto"/>
        <w:bottom w:val="none" w:sz="0" w:space="0" w:color="auto"/>
        <w:right w:val="none" w:sz="0" w:space="0" w:color="auto"/>
      </w:divBdr>
    </w:div>
    <w:div w:id="746344685">
      <w:bodyDiv w:val="1"/>
      <w:marLeft w:val="0"/>
      <w:marRight w:val="0"/>
      <w:marTop w:val="0"/>
      <w:marBottom w:val="0"/>
      <w:divBdr>
        <w:top w:val="none" w:sz="0" w:space="0" w:color="auto"/>
        <w:left w:val="none" w:sz="0" w:space="0" w:color="auto"/>
        <w:bottom w:val="none" w:sz="0" w:space="0" w:color="auto"/>
        <w:right w:val="none" w:sz="0" w:space="0" w:color="auto"/>
      </w:divBdr>
    </w:div>
    <w:div w:id="764351764">
      <w:bodyDiv w:val="1"/>
      <w:marLeft w:val="0"/>
      <w:marRight w:val="0"/>
      <w:marTop w:val="0"/>
      <w:marBottom w:val="0"/>
      <w:divBdr>
        <w:top w:val="none" w:sz="0" w:space="0" w:color="auto"/>
        <w:left w:val="none" w:sz="0" w:space="0" w:color="auto"/>
        <w:bottom w:val="none" w:sz="0" w:space="0" w:color="auto"/>
        <w:right w:val="none" w:sz="0" w:space="0" w:color="auto"/>
      </w:divBdr>
    </w:div>
    <w:div w:id="879363118">
      <w:bodyDiv w:val="1"/>
      <w:marLeft w:val="0"/>
      <w:marRight w:val="0"/>
      <w:marTop w:val="0"/>
      <w:marBottom w:val="0"/>
      <w:divBdr>
        <w:top w:val="none" w:sz="0" w:space="0" w:color="auto"/>
        <w:left w:val="none" w:sz="0" w:space="0" w:color="auto"/>
        <w:bottom w:val="none" w:sz="0" w:space="0" w:color="auto"/>
        <w:right w:val="none" w:sz="0" w:space="0" w:color="auto"/>
      </w:divBdr>
    </w:div>
    <w:div w:id="906184480">
      <w:bodyDiv w:val="1"/>
      <w:marLeft w:val="0"/>
      <w:marRight w:val="0"/>
      <w:marTop w:val="0"/>
      <w:marBottom w:val="0"/>
      <w:divBdr>
        <w:top w:val="none" w:sz="0" w:space="0" w:color="auto"/>
        <w:left w:val="none" w:sz="0" w:space="0" w:color="auto"/>
        <w:bottom w:val="none" w:sz="0" w:space="0" w:color="auto"/>
        <w:right w:val="none" w:sz="0" w:space="0" w:color="auto"/>
      </w:divBdr>
    </w:div>
    <w:div w:id="948968232">
      <w:bodyDiv w:val="1"/>
      <w:marLeft w:val="0"/>
      <w:marRight w:val="0"/>
      <w:marTop w:val="0"/>
      <w:marBottom w:val="0"/>
      <w:divBdr>
        <w:top w:val="none" w:sz="0" w:space="0" w:color="auto"/>
        <w:left w:val="none" w:sz="0" w:space="0" w:color="auto"/>
        <w:bottom w:val="none" w:sz="0" w:space="0" w:color="auto"/>
        <w:right w:val="none" w:sz="0" w:space="0" w:color="auto"/>
      </w:divBdr>
    </w:div>
    <w:div w:id="991494290">
      <w:bodyDiv w:val="1"/>
      <w:marLeft w:val="0"/>
      <w:marRight w:val="0"/>
      <w:marTop w:val="0"/>
      <w:marBottom w:val="0"/>
      <w:divBdr>
        <w:top w:val="none" w:sz="0" w:space="0" w:color="auto"/>
        <w:left w:val="none" w:sz="0" w:space="0" w:color="auto"/>
        <w:bottom w:val="none" w:sz="0" w:space="0" w:color="auto"/>
        <w:right w:val="none" w:sz="0" w:space="0" w:color="auto"/>
      </w:divBdr>
      <w:divsChild>
        <w:div w:id="9987103">
          <w:marLeft w:val="1440"/>
          <w:marRight w:val="0"/>
          <w:marTop w:val="0"/>
          <w:marBottom w:val="0"/>
          <w:divBdr>
            <w:top w:val="none" w:sz="0" w:space="0" w:color="auto"/>
            <w:left w:val="none" w:sz="0" w:space="0" w:color="auto"/>
            <w:bottom w:val="none" w:sz="0" w:space="0" w:color="auto"/>
            <w:right w:val="none" w:sz="0" w:space="0" w:color="auto"/>
          </w:divBdr>
        </w:div>
        <w:div w:id="123890093">
          <w:marLeft w:val="1440"/>
          <w:marRight w:val="0"/>
          <w:marTop w:val="0"/>
          <w:marBottom w:val="0"/>
          <w:divBdr>
            <w:top w:val="none" w:sz="0" w:space="0" w:color="auto"/>
            <w:left w:val="none" w:sz="0" w:space="0" w:color="auto"/>
            <w:bottom w:val="none" w:sz="0" w:space="0" w:color="auto"/>
            <w:right w:val="none" w:sz="0" w:space="0" w:color="auto"/>
          </w:divBdr>
        </w:div>
        <w:div w:id="449278515">
          <w:marLeft w:val="1440"/>
          <w:marRight w:val="0"/>
          <w:marTop w:val="0"/>
          <w:marBottom w:val="200"/>
          <w:divBdr>
            <w:top w:val="none" w:sz="0" w:space="0" w:color="auto"/>
            <w:left w:val="none" w:sz="0" w:space="0" w:color="auto"/>
            <w:bottom w:val="none" w:sz="0" w:space="0" w:color="auto"/>
            <w:right w:val="none" w:sz="0" w:space="0" w:color="auto"/>
          </w:divBdr>
        </w:div>
        <w:div w:id="741833971">
          <w:marLeft w:val="1440"/>
          <w:marRight w:val="0"/>
          <w:marTop w:val="0"/>
          <w:marBottom w:val="0"/>
          <w:divBdr>
            <w:top w:val="none" w:sz="0" w:space="0" w:color="auto"/>
            <w:left w:val="none" w:sz="0" w:space="0" w:color="auto"/>
            <w:bottom w:val="none" w:sz="0" w:space="0" w:color="auto"/>
            <w:right w:val="none" w:sz="0" w:space="0" w:color="auto"/>
          </w:divBdr>
        </w:div>
        <w:div w:id="1015883821">
          <w:marLeft w:val="1440"/>
          <w:marRight w:val="0"/>
          <w:marTop w:val="0"/>
          <w:marBottom w:val="0"/>
          <w:divBdr>
            <w:top w:val="none" w:sz="0" w:space="0" w:color="auto"/>
            <w:left w:val="none" w:sz="0" w:space="0" w:color="auto"/>
            <w:bottom w:val="none" w:sz="0" w:space="0" w:color="auto"/>
            <w:right w:val="none" w:sz="0" w:space="0" w:color="auto"/>
          </w:divBdr>
        </w:div>
        <w:div w:id="1385834245">
          <w:marLeft w:val="1440"/>
          <w:marRight w:val="0"/>
          <w:marTop w:val="0"/>
          <w:marBottom w:val="0"/>
          <w:divBdr>
            <w:top w:val="none" w:sz="0" w:space="0" w:color="auto"/>
            <w:left w:val="none" w:sz="0" w:space="0" w:color="auto"/>
            <w:bottom w:val="none" w:sz="0" w:space="0" w:color="auto"/>
            <w:right w:val="none" w:sz="0" w:space="0" w:color="auto"/>
          </w:divBdr>
        </w:div>
      </w:divsChild>
    </w:div>
    <w:div w:id="1125781801">
      <w:bodyDiv w:val="1"/>
      <w:marLeft w:val="0"/>
      <w:marRight w:val="0"/>
      <w:marTop w:val="0"/>
      <w:marBottom w:val="0"/>
      <w:divBdr>
        <w:top w:val="none" w:sz="0" w:space="0" w:color="auto"/>
        <w:left w:val="none" w:sz="0" w:space="0" w:color="auto"/>
        <w:bottom w:val="none" w:sz="0" w:space="0" w:color="auto"/>
        <w:right w:val="none" w:sz="0" w:space="0" w:color="auto"/>
      </w:divBdr>
    </w:div>
    <w:div w:id="1245601628">
      <w:bodyDiv w:val="1"/>
      <w:marLeft w:val="0"/>
      <w:marRight w:val="0"/>
      <w:marTop w:val="0"/>
      <w:marBottom w:val="0"/>
      <w:divBdr>
        <w:top w:val="none" w:sz="0" w:space="0" w:color="auto"/>
        <w:left w:val="none" w:sz="0" w:space="0" w:color="auto"/>
        <w:bottom w:val="none" w:sz="0" w:space="0" w:color="auto"/>
        <w:right w:val="none" w:sz="0" w:space="0" w:color="auto"/>
      </w:divBdr>
    </w:div>
    <w:div w:id="1344240330">
      <w:bodyDiv w:val="1"/>
      <w:marLeft w:val="0"/>
      <w:marRight w:val="0"/>
      <w:marTop w:val="0"/>
      <w:marBottom w:val="0"/>
      <w:divBdr>
        <w:top w:val="none" w:sz="0" w:space="0" w:color="auto"/>
        <w:left w:val="none" w:sz="0" w:space="0" w:color="auto"/>
        <w:bottom w:val="none" w:sz="0" w:space="0" w:color="auto"/>
        <w:right w:val="none" w:sz="0" w:space="0" w:color="auto"/>
      </w:divBdr>
    </w:div>
    <w:div w:id="1364021414">
      <w:bodyDiv w:val="1"/>
      <w:marLeft w:val="0"/>
      <w:marRight w:val="0"/>
      <w:marTop w:val="0"/>
      <w:marBottom w:val="0"/>
      <w:divBdr>
        <w:top w:val="none" w:sz="0" w:space="0" w:color="auto"/>
        <w:left w:val="none" w:sz="0" w:space="0" w:color="auto"/>
        <w:bottom w:val="none" w:sz="0" w:space="0" w:color="auto"/>
        <w:right w:val="none" w:sz="0" w:space="0" w:color="auto"/>
      </w:divBdr>
    </w:div>
    <w:div w:id="1428311008">
      <w:bodyDiv w:val="1"/>
      <w:marLeft w:val="0"/>
      <w:marRight w:val="0"/>
      <w:marTop w:val="0"/>
      <w:marBottom w:val="0"/>
      <w:divBdr>
        <w:top w:val="none" w:sz="0" w:space="0" w:color="auto"/>
        <w:left w:val="none" w:sz="0" w:space="0" w:color="auto"/>
        <w:bottom w:val="none" w:sz="0" w:space="0" w:color="auto"/>
        <w:right w:val="none" w:sz="0" w:space="0" w:color="auto"/>
      </w:divBdr>
    </w:div>
    <w:div w:id="1506749855">
      <w:bodyDiv w:val="1"/>
      <w:marLeft w:val="0"/>
      <w:marRight w:val="0"/>
      <w:marTop w:val="0"/>
      <w:marBottom w:val="0"/>
      <w:divBdr>
        <w:top w:val="none" w:sz="0" w:space="0" w:color="auto"/>
        <w:left w:val="none" w:sz="0" w:space="0" w:color="auto"/>
        <w:bottom w:val="none" w:sz="0" w:space="0" w:color="auto"/>
        <w:right w:val="none" w:sz="0" w:space="0" w:color="auto"/>
      </w:divBdr>
    </w:div>
    <w:div w:id="1539050074">
      <w:bodyDiv w:val="1"/>
      <w:marLeft w:val="0"/>
      <w:marRight w:val="0"/>
      <w:marTop w:val="0"/>
      <w:marBottom w:val="0"/>
      <w:divBdr>
        <w:top w:val="none" w:sz="0" w:space="0" w:color="auto"/>
        <w:left w:val="none" w:sz="0" w:space="0" w:color="auto"/>
        <w:bottom w:val="none" w:sz="0" w:space="0" w:color="auto"/>
        <w:right w:val="none" w:sz="0" w:space="0" w:color="auto"/>
      </w:divBdr>
    </w:div>
    <w:div w:id="1615599231">
      <w:bodyDiv w:val="1"/>
      <w:marLeft w:val="0"/>
      <w:marRight w:val="0"/>
      <w:marTop w:val="0"/>
      <w:marBottom w:val="0"/>
      <w:divBdr>
        <w:top w:val="none" w:sz="0" w:space="0" w:color="auto"/>
        <w:left w:val="none" w:sz="0" w:space="0" w:color="auto"/>
        <w:bottom w:val="none" w:sz="0" w:space="0" w:color="auto"/>
        <w:right w:val="none" w:sz="0" w:space="0" w:color="auto"/>
      </w:divBdr>
    </w:div>
    <w:div w:id="1684480232">
      <w:bodyDiv w:val="1"/>
      <w:marLeft w:val="0"/>
      <w:marRight w:val="0"/>
      <w:marTop w:val="0"/>
      <w:marBottom w:val="0"/>
      <w:divBdr>
        <w:top w:val="none" w:sz="0" w:space="0" w:color="auto"/>
        <w:left w:val="none" w:sz="0" w:space="0" w:color="auto"/>
        <w:bottom w:val="none" w:sz="0" w:space="0" w:color="auto"/>
        <w:right w:val="none" w:sz="0" w:space="0" w:color="auto"/>
      </w:divBdr>
    </w:div>
    <w:div w:id="1900286545">
      <w:bodyDiv w:val="1"/>
      <w:marLeft w:val="0"/>
      <w:marRight w:val="0"/>
      <w:marTop w:val="0"/>
      <w:marBottom w:val="0"/>
      <w:divBdr>
        <w:top w:val="none" w:sz="0" w:space="0" w:color="auto"/>
        <w:left w:val="none" w:sz="0" w:space="0" w:color="auto"/>
        <w:bottom w:val="none" w:sz="0" w:space="0" w:color="auto"/>
        <w:right w:val="none" w:sz="0" w:space="0" w:color="auto"/>
      </w:divBdr>
    </w:div>
    <w:div w:id="1932858949">
      <w:bodyDiv w:val="1"/>
      <w:marLeft w:val="0"/>
      <w:marRight w:val="0"/>
      <w:marTop w:val="0"/>
      <w:marBottom w:val="0"/>
      <w:divBdr>
        <w:top w:val="none" w:sz="0" w:space="0" w:color="auto"/>
        <w:left w:val="none" w:sz="0" w:space="0" w:color="auto"/>
        <w:bottom w:val="none" w:sz="0" w:space="0" w:color="auto"/>
        <w:right w:val="none" w:sz="0" w:space="0" w:color="auto"/>
      </w:divBdr>
    </w:div>
    <w:div w:id="2075662821">
      <w:bodyDiv w:val="1"/>
      <w:marLeft w:val="0"/>
      <w:marRight w:val="0"/>
      <w:marTop w:val="0"/>
      <w:marBottom w:val="0"/>
      <w:divBdr>
        <w:top w:val="none" w:sz="0" w:space="0" w:color="auto"/>
        <w:left w:val="none" w:sz="0" w:space="0" w:color="auto"/>
        <w:bottom w:val="none" w:sz="0" w:space="0" w:color="auto"/>
        <w:right w:val="none" w:sz="0" w:space="0" w:color="auto"/>
      </w:divBdr>
    </w:div>
    <w:div w:id="208301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ckelshauscenter@w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55195-169E-4550-A3CC-197EF375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1355</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Spokane River Toxics Quarterly Report</vt:lpstr>
    </vt:vector>
  </TitlesOfParts>
  <Company>Long Live The Kings</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Spokane River Toxics Quarterly Report</dc:title>
  <dc:creator>Aubri Denevan</dc:creator>
  <cp:lastModifiedBy>Kara Whitman</cp:lastModifiedBy>
  <cp:revision>5</cp:revision>
  <cp:lastPrinted>2014-02-07T00:20:00Z</cp:lastPrinted>
  <dcterms:created xsi:type="dcterms:W3CDTF">2018-01-01T18:23:00Z</dcterms:created>
  <dcterms:modified xsi:type="dcterms:W3CDTF">2018-01-01T19:55:00Z</dcterms:modified>
</cp:coreProperties>
</file>